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asciiTheme="minorHAnsi" w:hAnsiTheme="minorHAnsi" w:eastAsiaTheme="majorEastAsia" w:cstheme="minorHAnsi"/>
          <w:b/>
          <w:kern w:val="0"/>
          <w:sz w:val="32"/>
          <w:szCs w:val="21"/>
        </w:rPr>
        <w:drawing>
          <wp:inline distT="0" distB="0" distL="0" distR="0">
            <wp:extent cx="857250" cy="299720"/>
            <wp:effectExtent l="0" t="0" r="0" b="508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asciiTheme="minorHAnsi" w:hAnsiTheme="minorHAnsi" w:eastAsiaTheme="majorEastAsia" w:cstheme="minorHAnsi"/>
          <w:b/>
          <w:kern w:val="0"/>
          <w:sz w:val="32"/>
          <w:szCs w:val="21"/>
        </w:rPr>
        <w:t>美国加州大学伯克利分校</w:t>
      </w:r>
    </w:p>
    <w:p>
      <w:pPr>
        <w:widowControl/>
        <w:spacing w:line="360" w:lineRule="auto"/>
        <w:jc w:val="center"/>
        <w:rPr>
          <w:rFonts w:asciiTheme="minorHAnsi" w:hAnsiTheme="minorHAnsi" w:eastAsiaTheme="majorEastAsia" w:cstheme="minorHAnsi"/>
          <w:b/>
          <w:kern w:val="0"/>
          <w:sz w:val="32"/>
          <w:szCs w:val="21"/>
        </w:rPr>
      </w:pPr>
      <w:r>
        <w:rPr>
          <w:rFonts w:asciiTheme="minorHAnsi" w:hAnsiTheme="minorHAnsi" w:eastAsiaTheme="majorEastAsia" w:cstheme="minorHAnsi"/>
          <w:b/>
          <w:kern w:val="0"/>
          <w:sz w:val="32"/>
          <w:szCs w:val="21"/>
        </w:rPr>
        <w:t>202</w:t>
      </w:r>
      <w:r>
        <w:rPr>
          <w:rFonts w:hint="eastAsia" w:asciiTheme="minorHAnsi" w:hAnsiTheme="minorHAnsi" w:eastAsiaTheme="majorEastAsia" w:cstheme="minorHAnsi"/>
          <w:b/>
          <w:kern w:val="0"/>
          <w:sz w:val="32"/>
          <w:szCs w:val="21"/>
        </w:rPr>
        <w:t>0秋</w:t>
      </w:r>
      <w:r>
        <w:rPr>
          <w:rFonts w:asciiTheme="minorHAnsi" w:hAnsiTheme="minorHAnsi" w:eastAsiaTheme="majorEastAsia" w:cstheme="minorHAnsi"/>
          <w:b/>
          <w:kern w:val="0"/>
          <w:sz w:val="32"/>
          <w:szCs w:val="21"/>
        </w:rPr>
        <w:t>季法学院学期学分课程</w:t>
      </w:r>
    </w:p>
    <w:p>
      <w:pPr>
        <w:widowControl/>
        <w:spacing w:line="360" w:lineRule="auto"/>
        <w:jc w:val="center"/>
        <w:rPr>
          <w:rFonts w:asciiTheme="minorHAnsi" w:hAnsiTheme="minorHAnsi" w:eastAsiaTheme="majorEastAsia" w:cstheme="minorHAnsi"/>
          <w:b/>
          <w:kern w:val="0"/>
          <w:sz w:val="32"/>
          <w:szCs w:val="21"/>
        </w:rPr>
      </w:pPr>
      <w:r>
        <w:rPr>
          <w:rFonts w:asciiTheme="minorHAnsi" w:hAnsiTheme="minorHAnsi" w:eastAsiaTheme="majorEastAsia" w:cstheme="minorHAnsi"/>
          <w:b/>
          <w:kern w:val="0"/>
          <w:sz w:val="32"/>
          <w:szCs w:val="21"/>
        </w:rPr>
        <w:t>BGA Legal Studies Program</w:t>
      </w:r>
    </w:p>
    <w:p>
      <w:pPr>
        <w:widowControl/>
        <w:spacing w:line="360" w:lineRule="auto"/>
        <w:jc w:val="center"/>
        <w:rPr>
          <w:rFonts w:asciiTheme="minorHAnsi" w:hAnsiTheme="minorHAnsi" w:eastAsiaTheme="majorEastAsia" w:cstheme="minorHAnsi"/>
          <w:kern w:val="0"/>
          <w:szCs w:val="21"/>
        </w:rPr>
      </w:pPr>
      <w:r>
        <w:rPr>
          <w:rFonts w:asciiTheme="minorHAnsi" w:hAnsiTheme="minorHAnsi" w:eastAsiaTheme="majorEastAsia" w:cstheme="minorHAnsi"/>
          <w:b/>
          <w:kern w:val="0"/>
          <w:sz w:val="32"/>
          <w:szCs w:val="21"/>
        </w:rPr>
        <w:t>University of California Berkeley</w:t>
      </w:r>
    </w:p>
    <w:p>
      <w:pPr>
        <w:widowControl/>
        <w:spacing w:line="360" w:lineRule="auto"/>
        <w:jc w:val="center"/>
        <w:rPr>
          <w:rFonts w:asciiTheme="minorHAnsi" w:hAnsiTheme="minorHAnsi" w:cstheme="minorHAnsi"/>
          <w:b/>
        </w:rPr>
      </w:pPr>
      <w:r>
        <w:rPr>
          <w:rFonts w:asciiTheme="minorHAnsi" w:hAnsiTheme="minorHAnsi" w:cstheme="minorHAnsi"/>
          <w:b/>
        </w:rPr>
        <w:t>2020年</w:t>
      </w:r>
      <w:r>
        <w:rPr>
          <w:rFonts w:hint="eastAsia" w:asciiTheme="minorHAnsi" w:hAnsiTheme="minorHAnsi" w:cstheme="minorHAnsi"/>
          <w:b/>
        </w:rPr>
        <w:t>8</w:t>
      </w:r>
      <w:r>
        <w:rPr>
          <w:rFonts w:asciiTheme="minorHAnsi" w:hAnsiTheme="minorHAnsi" w:cstheme="minorHAnsi"/>
          <w:b/>
        </w:rPr>
        <w:t>月1</w:t>
      </w:r>
      <w:r>
        <w:rPr>
          <w:rFonts w:hint="eastAsia" w:asciiTheme="minorHAnsi" w:hAnsiTheme="minorHAnsi" w:cstheme="minorHAnsi"/>
          <w:b/>
        </w:rPr>
        <w:t>9</w:t>
      </w:r>
      <w:r>
        <w:rPr>
          <w:rFonts w:asciiTheme="minorHAnsi" w:hAnsiTheme="minorHAnsi" w:cstheme="minorHAnsi"/>
          <w:b/>
        </w:rPr>
        <w:t xml:space="preserve">日- </w:t>
      </w:r>
      <w:r>
        <w:rPr>
          <w:rFonts w:hint="eastAsia" w:asciiTheme="minorHAnsi" w:hAnsiTheme="minorHAnsi" w:cstheme="minorHAnsi"/>
          <w:b/>
        </w:rPr>
        <w:t>12</w:t>
      </w:r>
      <w:r>
        <w:rPr>
          <w:rFonts w:asciiTheme="minorHAnsi" w:hAnsiTheme="minorHAnsi" w:cstheme="minorHAnsi"/>
          <w:b/>
        </w:rPr>
        <w:t>月1</w:t>
      </w:r>
      <w:r>
        <w:rPr>
          <w:rFonts w:hint="eastAsia" w:asciiTheme="minorHAnsi" w:hAnsiTheme="minorHAnsi" w:cstheme="minorHAnsi"/>
          <w:b/>
        </w:rPr>
        <w:t>8</w:t>
      </w:r>
      <w:r>
        <w:rPr>
          <w:rFonts w:asciiTheme="minorHAnsi" w:hAnsiTheme="minorHAnsi" w:cstheme="minorHAnsi"/>
          <w:b/>
        </w:rPr>
        <w:t>日</w:t>
      </w:r>
    </w:p>
    <w:p>
      <w:pPr>
        <w:widowControl/>
        <w:spacing w:line="360" w:lineRule="auto"/>
        <w:jc w:val="center"/>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p>
    <w:p>
      <w:pPr>
        <w:pStyle w:val="19"/>
        <w:widowControl/>
        <w:numPr>
          <w:ilvl w:val="0"/>
          <w:numId w:val="1"/>
        </w:numPr>
        <w:spacing w:line="360" w:lineRule="auto"/>
        <w:ind w:firstLineChars="0"/>
        <w:rPr>
          <w:rFonts w:asciiTheme="minorHAnsi" w:hAnsiTheme="minorHAnsi" w:eastAsiaTheme="minorEastAsia" w:cstheme="minorHAnsi"/>
          <w:b/>
          <w:kern w:val="0"/>
          <w:szCs w:val="21"/>
        </w:rPr>
      </w:pPr>
      <w:r>
        <w:rPr>
          <w:rFonts w:asciiTheme="minorHAnsi" w:hAnsiTheme="minorHAnsi" w:eastAsiaTheme="minorEastAsia" w:cstheme="minorHAnsi"/>
          <w:b/>
          <w:kern w:val="0"/>
          <w:szCs w:val="21"/>
        </w:rPr>
        <w:t xml:space="preserve"> 项目综述</w:t>
      </w:r>
    </w:p>
    <w:p>
      <w:pPr>
        <w:widowControl/>
        <w:spacing w:line="360" w:lineRule="auto"/>
        <w:ind w:firstLine="430"/>
        <w:rPr>
          <w:rFonts w:asciiTheme="minorHAnsi" w:hAnsiTheme="minorHAnsi" w:eastAsiaTheme="minorEastAsia" w:cstheme="minorHAnsi"/>
          <w:bCs/>
          <w:szCs w:val="21"/>
        </w:rPr>
      </w:pPr>
      <w:r>
        <w:rPr>
          <w:rFonts w:asciiTheme="minorHAnsi" w:hAnsiTheme="minorHAnsi" w:eastAsiaTheme="minorEastAsia" w:cstheme="minorHAnsi"/>
          <w:szCs w:val="21"/>
        </w:rPr>
        <w:t>加州大学伯克利分校是美国最负盛名的一所公立大学，成立于1868年，是加利福尼亚大学</w:t>
      </w:r>
      <w:r>
        <w:rPr>
          <w:rFonts w:hint="eastAsia" w:asciiTheme="minorHAnsi" w:hAnsiTheme="minorHAnsi" w:eastAsiaTheme="minorEastAsia" w:cstheme="minorHAnsi"/>
          <w:szCs w:val="21"/>
        </w:rPr>
        <w:t>的创始校。</w:t>
      </w:r>
      <w:r>
        <w:rPr>
          <w:rFonts w:asciiTheme="minorHAnsi" w:hAnsiTheme="minorHAnsi" w:eastAsiaTheme="minorEastAsia" w:cstheme="minorHAnsi"/>
          <w:szCs w:val="21"/>
        </w:rPr>
        <w:t>。加州大学伯克利分校开设有多个本科、硕士和博士专业，热门专业有工商管理、工程学、自然科学和生命科学等专业。加州大学伯克利分校为世界学术的知名学府，在众多权威的大学排名里名列前茅，是美国大学协会的创始会员之一。</w:t>
      </w:r>
    </w:p>
    <w:p>
      <w:pPr>
        <w:widowControl/>
        <w:spacing w:line="360" w:lineRule="auto"/>
        <w:ind w:firstLine="430"/>
        <w:rPr>
          <w:rFonts w:asciiTheme="minorHAnsi" w:hAnsiTheme="minorHAnsi" w:eastAsiaTheme="minorEastAsia" w:cstheme="minorHAnsi"/>
          <w:szCs w:val="21"/>
        </w:rPr>
      </w:pPr>
    </w:p>
    <w:p>
      <w:pPr>
        <w:widowControl/>
        <w:spacing w:line="360" w:lineRule="auto"/>
        <w:ind w:firstLine="430"/>
        <w:rPr>
          <w:rFonts w:asciiTheme="minorHAnsi" w:hAnsiTheme="minorHAnsi" w:eastAsiaTheme="minorEastAsia" w:cstheme="minorHAnsi"/>
          <w:szCs w:val="21"/>
        </w:rPr>
      </w:pPr>
      <w:r>
        <w:rPr>
          <w:rFonts w:asciiTheme="minorHAnsi" w:hAnsiTheme="minorHAnsi" w:eastAsiaTheme="minorEastAsia" w:cstheme="minorHAnsi"/>
          <w:szCs w:val="21"/>
        </w:rPr>
        <w:t>全美国际教育协会作为加州大学伯克利分校继续教育学院的正式授权机构，负责选拔优秀中国大学生，于2020年</w:t>
      </w:r>
      <w:r>
        <w:rPr>
          <w:rFonts w:hint="eastAsia" w:asciiTheme="minorHAnsi" w:hAnsiTheme="minorHAnsi" w:eastAsiaTheme="minorEastAsia" w:cstheme="minorHAnsi"/>
          <w:szCs w:val="21"/>
        </w:rPr>
        <w:t>秋</w:t>
      </w:r>
      <w:r>
        <w:rPr>
          <w:rFonts w:asciiTheme="minorHAnsi" w:hAnsiTheme="minorHAnsi" w:eastAsiaTheme="minorEastAsia" w:cstheme="minorHAnsi"/>
          <w:szCs w:val="21"/>
        </w:rPr>
        <w:t>季前往加州大学伯克利分校参加访学项目。项目学生将与全世界其它国家的国际学生混班上课，迅速提升自身的英语水平与专业学术技能，同时体验美国的社会与文化。</w:t>
      </w:r>
    </w:p>
    <w:p>
      <w:pPr>
        <w:widowControl/>
        <w:spacing w:line="360" w:lineRule="auto"/>
        <w:rPr>
          <w:rFonts w:asciiTheme="minorHAnsi" w:hAnsiTheme="minorHAnsi" w:eastAsiaTheme="minorEastAsia" w:cstheme="minorHAnsi"/>
          <w:kern w:val="0"/>
          <w:szCs w:val="21"/>
        </w:rPr>
      </w:pPr>
      <w:r>
        <w:rPr>
          <w:rFonts w:asciiTheme="minorHAnsi" w:hAnsiTheme="minorHAnsi" w:eastAsiaTheme="minorEastAsia" w:cstheme="minorHAnsi"/>
          <w:color w:val="000000"/>
          <w:szCs w:val="21"/>
        </w:rPr>
        <w:drawing>
          <wp:anchor distT="0" distB="0" distL="114300" distR="114300" simplePos="0" relativeHeight="251657216" behindDoc="0" locked="0" layoutInCell="1" allowOverlap="1">
            <wp:simplePos x="0" y="0"/>
            <wp:positionH relativeFrom="column">
              <wp:posOffset>409575</wp:posOffset>
            </wp:positionH>
            <wp:positionV relativeFrom="paragraph">
              <wp:posOffset>212090</wp:posOffset>
            </wp:positionV>
            <wp:extent cx="5274310" cy="1962150"/>
            <wp:effectExtent l="19050" t="0" r="254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274310" cy="1962150"/>
                    </a:xfrm>
                    <a:prstGeom prst="rect">
                      <a:avLst/>
                    </a:prstGeom>
                  </pic:spPr>
                </pic:pic>
              </a:graphicData>
            </a:graphic>
          </wp:anchor>
        </w:drawing>
      </w:r>
    </w:p>
    <w:p>
      <w:pPr>
        <w:widowControl/>
        <w:spacing w:line="360" w:lineRule="auto"/>
        <w:jc w:val="left"/>
        <w:rPr>
          <w:rFonts w:asciiTheme="minorHAnsi" w:hAnsiTheme="minorHAnsi" w:eastAsiaTheme="minorEastAsia" w:cstheme="minorHAnsi"/>
          <w:b/>
          <w:kern w:val="0"/>
          <w:szCs w:val="21"/>
        </w:rPr>
      </w:pPr>
    </w:p>
    <w:p>
      <w:pPr>
        <w:widowControl/>
        <w:spacing w:line="360" w:lineRule="auto"/>
        <w:jc w:val="left"/>
        <w:rPr>
          <w:rFonts w:asciiTheme="minorHAnsi" w:hAnsiTheme="minorHAnsi" w:eastAsiaTheme="minorEastAsia" w:cstheme="minorHAnsi"/>
          <w:b/>
          <w:kern w:val="0"/>
          <w:szCs w:val="21"/>
        </w:rPr>
      </w:pPr>
    </w:p>
    <w:p>
      <w:pPr>
        <w:widowControl/>
        <w:spacing w:line="360" w:lineRule="auto"/>
        <w:jc w:val="left"/>
        <w:rPr>
          <w:rFonts w:asciiTheme="minorHAnsi" w:hAnsiTheme="minorHAnsi" w:eastAsiaTheme="minorEastAsia" w:cstheme="minorHAnsi"/>
          <w:b/>
          <w:kern w:val="0"/>
          <w:szCs w:val="21"/>
        </w:rPr>
      </w:pPr>
    </w:p>
    <w:p>
      <w:pPr>
        <w:widowControl/>
        <w:spacing w:line="360" w:lineRule="auto"/>
        <w:jc w:val="left"/>
        <w:rPr>
          <w:rFonts w:asciiTheme="minorHAnsi" w:hAnsiTheme="minorHAnsi" w:eastAsiaTheme="minorEastAsia" w:cstheme="minorHAnsi"/>
          <w:b/>
          <w:kern w:val="0"/>
          <w:szCs w:val="21"/>
        </w:rPr>
      </w:pPr>
    </w:p>
    <w:p>
      <w:pPr>
        <w:widowControl/>
        <w:spacing w:line="360" w:lineRule="auto"/>
        <w:jc w:val="left"/>
        <w:rPr>
          <w:rFonts w:asciiTheme="minorHAnsi" w:hAnsiTheme="minorHAnsi" w:eastAsiaTheme="minorEastAsia" w:cstheme="minorHAnsi"/>
          <w:b/>
          <w:kern w:val="0"/>
          <w:szCs w:val="21"/>
        </w:rPr>
      </w:pPr>
    </w:p>
    <w:p>
      <w:pPr>
        <w:widowControl/>
        <w:spacing w:line="360" w:lineRule="auto"/>
        <w:jc w:val="left"/>
        <w:rPr>
          <w:rFonts w:asciiTheme="minorHAnsi" w:hAnsiTheme="minorHAnsi" w:eastAsiaTheme="minorEastAsia" w:cstheme="minorHAnsi"/>
          <w:b/>
          <w:kern w:val="0"/>
          <w:szCs w:val="21"/>
        </w:rPr>
      </w:pPr>
    </w:p>
    <w:p>
      <w:pPr>
        <w:widowControl/>
        <w:spacing w:line="360" w:lineRule="auto"/>
        <w:jc w:val="left"/>
        <w:rPr>
          <w:rFonts w:asciiTheme="minorHAnsi" w:hAnsiTheme="minorHAnsi" w:eastAsiaTheme="minorEastAsia" w:cstheme="minorHAnsi"/>
          <w:b/>
          <w:kern w:val="0"/>
          <w:szCs w:val="21"/>
        </w:rPr>
      </w:pPr>
    </w:p>
    <w:p>
      <w:pPr>
        <w:widowControl/>
        <w:spacing w:line="360" w:lineRule="auto"/>
        <w:jc w:val="left"/>
        <w:rPr>
          <w:rFonts w:asciiTheme="minorHAnsi" w:hAnsiTheme="minorHAnsi" w:eastAsiaTheme="minorEastAsia" w:cstheme="minorHAnsi"/>
          <w:b/>
          <w:kern w:val="0"/>
          <w:szCs w:val="21"/>
        </w:rPr>
      </w:pPr>
    </w:p>
    <w:p>
      <w:pPr>
        <w:widowControl/>
        <w:spacing w:line="360" w:lineRule="auto"/>
        <w:jc w:val="left"/>
        <w:rPr>
          <w:rFonts w:asciiTheme="minorHAnsi" w:hAnsiTheme="minorHAnsi" w:eastAsiaTheme="minorEastAsia" w:cstheme="minorHAnsi"/>
          <w:b/>
          <w:kern w:val="0"/>
          <w:szCs w:val="21"/>
        </w:rPr>
      </w:pPr>
      <w:r>
        <w:rPr>
          <w:rFonts w:asciiTheme="minorHAnsi" w:hAnsiTheme="minorHAnsi" w:eastAsiaTheme="minorEastAsia" w:cstheme="minorHAnsi"/>
          <w:b/>
          <w:kern w:val="0"/>
          <w:szCs w:val="21"/>
        </w:rPr>
        <w:t xml:space="preserve">二、 </w:t>
      </w:r>
      <w:r>
        <w:rPr>
          <w:rFonts w:asciiTheme="minorHAnsi" w:hAnsiTheme="minorHAnsi" w:eastAsiaTheme="minorEastAsia" w:cstheme="minorHAnsi"/>
          <w:b/>
          <w:bCs/>
          <w:kern w:val="0"/>
          <w:szCs w:val="21"/>
        </w:rPr>
        <w:t>加州大学伯克利分校简介</w:t>
      </w:r>
    </w:p>
    <w:p>
      <w:pPr>
        <w:pStyle w:val="18"/>
        <w:widowControl/>
        <w:numPr>
          <w:ilvl w:val="0"/>
          <w:numId w:val="2"/>
        </w:numPr>
        <w:spacing w:line="360" w:lineRule="auto"/>
        <w:ind w:firstLineChars="0"/>
        <w:jc w:val="left"/>
        <w:rPr>
          <w:rFonts w:asciiTheme="minorHAnsi" w:hAnsiTheme="minorHAnsi" w:eastAsiaTheme="minorEastAsia" w:cstheme="minorHAnsi"/>
          <w:szCs w:val="21"/>
        </w:rPr>
      </w:pPr>
      <w:r>
        <w:rPr>
          <w:rFonts w:asciiTheme="minorHAnsi" w:hAnsiTheme="minorHAnsi" w:eastAsiaTheme="minorEastAsia" w:cstheme="minorHAnsi"/>
          <w:szCs w:val="21"/>
        </w:rPr>
        <w:t>创建于1868年的世界级公立研究型大学，加州大学系统中十大分校之一，同时也是加州大学系统的创始校区；</w:t>
      </w:r>
    </w:p>
    <w:p>
      <w:pPr>
        <w:pStyle w:val="18"/>
        <w:widowControl/>
        <w:numPr>
          <w:ilvl w:val="0"/>
          <w:numId w:val="2"/>
        </w:numPr>
        <w:spacing w:line="360" w:lineRule="auto"/>
        <w:ind w:firstLineChars="0"/>
        <w:jc w:val="left"/>
        <w:rPr>
          <w:rFonts w:asciiTheme="minorHAnsi" w:hAnsiTheme="minorHAnsi" w:eastAsiaTheme="minorEastAsia" w:cstheme="minorHAnsi"/>
          <w:szCs w:val="21"/>
        </w:rPr>
      </w:pPr>
      <w:r>
        <w:rPr>
          <w:rFonts w:asciiTheme="minorHAnsi" w:hAnsiTheme="minorHAnsi" w:eastAsiaTheme="minorEastAsia" w:cstheme="minorHAnsi"/>
          <w:szCs w:val="21"/>
        </w:rPr>
        <w:t>20</w:t>
      </w:r>
      <w:r>
        <w:rPr>
          <w:rFonts w:hint="eastAsia" w:asciiTheme="minorHAnsi" w:hAnsiTheme="minorHAnsi" w:eastAsiaTheme="minorEastAsia" w:cstheme="minorHAnsi"/>
          <w:szCs w:val="21"/>
        </w:rPr>
        <w:t>20</w:t>
      </w:r>
      <w:r>
        <w:rPr>
          <w:rFonts w:asciiTheme="minorHAnsi" w:hAnsiTheme="minorHAnsi" w:eastAsiaTheme="minorEastAsia" w:cstheme="minorHAnsi"/>
          <w:szCs w:val="21"/>
        </w:rPr>
        <w:t>年美国新闻与世界报道全美公立大学排名第2，全球大学排名第4；20</w:t>
      </w:r>
      <w:r>
        <w:rPr>
          <w:rFonts w:hint="eastAsia" w:asciiTheme="minorHAnsi" w:hAnsiTheme="minorHAnsi" w:eastAsiaTheme="minorEastAsia" w:cstheme="minorHAnsi"/>
          <w:szCs w:val="21"/>
        </w:rPr>
        <w:t>20</w:t>
      </w:r>
      <w:r>
        <w:rPr>
          <w:rFonts w:asciiTheme="minorHAnsi" w:hAnsiTheme="minorHAnsi" w:eastAsiaTheme="minorEastAsia" w:cstheme="minorHAnsi"/>
          <w:szCs w:val="21"/>
        </w:rPr>
        <w:t>年Times高等教育世界大学综合排名第1</w:t>
      </w:r>
      <w:r>
        <w:rPr>
          <w:rFonts w:hint="eastAsia" w:asciiTheme="minorHAnsi" w:hAnsiTheme="minorHAnsi" w:eastAsiaTheme="minorEastAsia" w:cstheme="minorHAnsi"/>
          <w:szCs w:val="21"/>
        </w:rPr>
        <w:t>3</w:t>
      </w:r>
      <w:r>
        <w:rPr>
          <w:rFonts w:asciiTheme="minorHAnsi" w:hAnsiTheme="minorHAnsi" w:eastAsiaTheme="minorEastAsia" w:cstheme="minorHAnsi"/>
          <w:szCs w:val="21"/>
        </w:rPr>
        <w:t>；201</w:t>
      </w:r>
      <w:r>
        <w:rPr>
          <w:rFonts w:hint="eastAsia" w:asciiTheme="minorHAnsi" w:hAnsiTheme="minorHAnsi" w:eastAsiaTheme="minorEastAsia" w:cstheme="minorHAnsi"/>
          <w:szCs w:val="21"/>
        </w:rPr>
        <w:t>9年</w:t>
      </w:r>
      <w:r>
        <w:rPr>
          <w:rFonts w:asciiTheme="minorHAnsi" w:hAnsiTheme="minorHAnsi" w:eastAsiaTheme="minorEastAsia" w:cstheme="minorHAnsi"/>
          <w:szCs w:val="21"/>
        </w:rPr>
        <w:t>上海交通大学世界大学学术排名（ARWU）位居第5；</w:t>
      </w:r>
    </w:p>
    <w:p>
      <w:pPr>
        <w:pStyle w:val="18"/>
        <w:widowControl/>
        <w:numPr>
          <w:ilvl w:val="0"/>
          <w:numId w:val="2"/>
        </w:numPr>
        <w:spacing w:line="360" w:lineRule="auto"/>
        <w:ind w:firstLineChars="0"/>
        <w:jc w:val="left"/>
        <w:rPr>
          <w:rFonts w:asciiTheme="minorHAnsi" w:hAnsiTheme="minorHAnsi" w:eastAsiaTheme="minorEastAsia" w:cstheme="minorHAnsi"/>
          <w:szCs w:val="21"/>
        </w:rPr>
      </w:pPr>
      <w:r>
        <w:rPr>
          <w:rFonts w:asciiTheme="minorHAnsi" w:hAnsiTheme="minorHAnsi" w:eastAsiaTheme="minorEastAsia" w:cstheme="minorHAnsi"/>
          <w:szCs w:val="21"/>
        </w:rPr>
        <w:t>加州大学伯克利分校法学院（Berkeley Law）成立于1894年，是加州大学伯克利分校的14所学院之一，也是加州大学系统中五所法学院之一</w:t>
      </w:r>
      <w:r>
        <w:rPr>
          <w:rFonts w:hint="eastAsia" w:asciiTheme="minorHAnsi" w:hAnsiTheme="minorHAnsi" w:eastAsiaTheme="minorEastAsia" w:cstheme="minorHAnsi"/>
          <w:szCs w:val="21"/>
        </w:rPr>
        <w:t>，</w:t>
      </w:r>
      <w:r>
        <w:rPr>
          <w:rFonts w:asciiTheme="minorHAnsi" w:hAnsiTheme="minorHAnsi" w:eastAsiaTheme="minorEastAsia" w:cstheme="minorHAnsi"/>
          <w:szCs w:val="21"/>
        </w:rPr>
        <w:t>其在美国新闻与世界报道20</w:t>
      </w:r>
      <w:r>
        <w:rPr>
          <w:rFonts w:hint="eastAsia" w:asciiTheme="minorHAnsi" w:hAnsiTheme="minorHAnsi" w:eastAsiaTheme="minorEastAsia" w:cstheme="minorHAnsi"/>
          <w:szCs w:val="21"/>
        </w:rPr>
        <w:t>20</w:t>
      </w:r>
      <w:r>
        <w:rPr>
          <w:rFonts w:asciiTheme="minorHAnsi" w:hAnsiTheme="minorHAnsi" w:eastAsiaTheme="minorEastAsia" w:cstheme="minorHAnsi"/>
          <w:szCs w:val="21"/>
        </w:rPr>
        <w:t>全美法学院排名为第</w:t>
      </w:r>
      <w:r>
        <w:rPr>
          <w:rFonts w:hint="eastAsia" w:asciiTheme="minorHAnsi" w:hAnsiTheme="minorHAnsi" w:eastAsiaTheme="minorEastAsia" w:cstheme="minorHAnsi"/>
          <w:szCs w:val="21"/>
        </w:rPr>
        <w:t>10</w:t>
      </w:r>
      <w:r>
        <w:rPr>
          <w:rFonts w:asciiTheme="minorHAnsi" w:hAnsiTheme="minorHAnsi" w:eastAsiaTheme="minorEastAsia" w:cstheme="minorHAnsi"/>
          <w:szCs w:val="21"/>
        </w:rPr>
        <w:t>位；</w:t>
      </w:r>
    </w:p>
    <w:p>
      <w:pPr>
        <w:pStyle w:val="18"/>
        <w:widowControl/>
        <w:numPr>
          <w:ilvl w:val="0"/>
          <w:numId w:val="2"/>
        </w:numPr>
        <w:spacing w:line="360" w:lineRule="auto"/>
        <w:ind w:firstLineChars="0"/>
        <w:jc w:val="left"/>
        <w:rPr>
          <w:rFonts w:asciiTheme="minorHAnsi" w:hAnsiTheme="minorHAnsi" w:eastAsiaTheme="minorEastAsia" w:cstheme="minorHAnsi"/>
          <w:szCs w:val="21"/>
        </w:rPr>
      </w:pPr>
      <w:r>
        <w:rPr>
          <w:rFonts w:asciiTheme="minorHAnsi" w:hAnsiTheme="minorHAnsi" w:eastAsiaTheme="minorEastAsia" w:cstheme="minorHAnsi"/>
          <w:szCs w:val="21"/>
        </w:rPr>
        <w:t>历届校友中共有30位诺贝尔奖得主，此外还有22位诺贝尔奖得主曾经或正在学校任教。</w:t>
      </w:r>
    </w:p>
    <w:p>
      <w:pPr>
        <w:widowControl/>
        <w:spacing w:line="360" w:lineRule="auto"/>
        <w:rPr>
          <w:rFonts w:asciiTheme="minorHAnsi" w:hAnsiTheme="minorHAnsi" w:eastAsiaTheme="minorEastAsia" w:cstheme="minorHAnsi"/>
          <w:kern w:val="0"/>
          <w:szCs w:val="21"/>
        </w:rPr>
      </w:pPr>
    </w:p>
    <w:p>
      <w:pPr>
        <w:widowControl/>
        <w:spacing w:line="360" w:lineRule="auto"/>
        <w:rPr>
          <w:rFonts w:asciiTheme="minorHAnsi" w:hAnsiTheme="minorHAnsi" w:eastAsiaTheme="minorEastAsia" w:cstheme="minorHAnsi"/>
          <w:b/>
          <w:kern w:val="0"/>
          <w:szCs w:val="21"/>
        </w:rPr>
      </w:pPr>
      <w:r>
        <w:rPr>
          <w:rFonts w:asciiTheme="minorHAnsi" w:hAnsiTheme="minorHAnsi" w:eastAsiaTheme="minorEastAsia" w:cstheme="minorHAnsi"/>
          <w:kern w:val="0"/>
          <w:szCs w:val="21"/>
        </w:rPr>
        <w:t xml:space="preserve">三、 </w:t>
      </w:r>
      <w:r>
        <w:rPr>
          <w:rFonts w:asciiTheme="minorHAnsi" w:hAnsiTheme="minorHAnsi" w:eastAsiaTheme="minorEastAsia" w:cstheme="minorHAnsi"/>
          <w:b/>
          <w:kern w:val="0"/>
          <w:szCs w:val="21"/>
        </w:rPr>
        <w:t>项目特色与优势</w:t>
      </w:r>
    </w:p>
    <w:p>
      <w:pPr>
        <w:pStyle w:val="19"/>
        <w:widowControl/>
        <w:numPr>
          <w:ilvl w:val="0"/>
          <w:numId w:val="3"/>
        </w:numPr>
        <w:spacing w:line="360" w:lineRule="auto"/>
        <w:ind w:firstLineChars="0"/>
        <w:rPr>
          <w:rFonts w:asciiTheme="minorHAnsi" w:hAnsiTheme="minorHAnsi" w:eastAsiaTheme="minorEastAsia" w:cstheme="minorHAnsi"/>
          <w:szCs w:val="21"/>
        </w:rPr>
      </w:pPr>
      <w:r>
        <w:rPr>
          <w:rFonts w:asciiTheme="minorHAnsi" w:hAnsiTheme="minorHAnsi" w:eastAsiaTheme="minorEastAsia" w:cstheme="minorHAnsi"/>
          <w:szCs w:val="21"/>
        </w:rPr>
        <w:t>【自带流量的顶级名校】全美公立大学排名第2，是加州大学系统创始校区；在20</w:t>
      </w:r>
      <w:r>
        <w:rPr>
          <w:rFonts w:hint="eastAsia" w:asciiTheme="minorHAnsi" w:hAnsiTheme="minorHAnsi" w:eastAsiaTheme="minorEastAsia" w:cstheme="minorHAnsi"/>
          <w:szCs w:val="21"/>
        </w:rPr>
        <w:t>20年</w:t>
      </w:r>
      <w:r>
        <w:rPr>
          <w:rFonts w:asciiTheme="minorHAnsi" w:hAnsiTheme="minorHAnsi" w:eastAsiaTheme="minorEastAsia" w:cstheme="minorHAnsi"/>
          <w:szCs w:val="21"/>
        </w:rPr>
        <w:t>US News世界大学排名中位列全球第4位；</w:t>
      </w:r>
    </w:p>
    <w:p>
      <w:pPr>
        <w:pStyle w:val="19"/>
        <w:widowControl/>
        <w:numPr>
          <w:ilvl w:val="0"/>
          <w:numId w:val="3"/>
        </w:numPr>
        <w:spacing w:line="360" w:lineRule="auto"/>
        <w:ind w:firstLineChars="0"/>
        <w:jc w:val="left"/>
        <w:rPr>
          <w:rFonts w:asciiTheme="minorHAnsi" w:hAnsiTheme="minorHAnsi" w:eastAsiaTheme="minorEastAsia" w:cstheme="minorHAnsi"/>
          <w:szCs w:val="21"/>
        </w:rPr>
      </w:pPr>
      <w:r>
        <w:rPr>
          <w:rFonts w:asciiTheme="minorHAnsi" w:hAnsiTheme="minorHAnsi" w:eastAsiaTheme="minorEastAsia" w:cstheme="minorHAnsi"/>
          <w:szCs w:val="21"/>
        </w:rPr>
        <w:t>【伯克利学生证与学分】获得加州大学伯克利分校学生证，充分享受各类校园设施与教育资源，包括图书馆、健身房、活动中心等。项目结束后获得伯克利成绩单和正式学分，助力进一步深造；</w:t>
      </w:r>
    </w:p>
    <w:p>
      <w:pPr>
        <w:pStyle w:val="19"/>
        <w:widowControl/>
        <w:numPr>
          <w:ilvl w:val="0"/>
          <w:numId w:val="3"/>
        </w:numPr>
        <w:spacing w:line="360" w:lineRule="auto"/>
        <w:ind w:firstLineChars="0"/>
        <w:jc w:val="left"/>
        <w:rPr>
          <w:rFonts w:asciiTheme="minorHAnsi" w:hAnsiTheme="minorHAnsi" w:eastAsiaTheme="minorEastAsia" w:cstheme="minorHAnsi"/>
          <w:szCs w:val="21"/>
        </w:rPr>
      </w:pPr>
      <w:r>
        <w:rPr>
          <w:rFonts w:asciiTheme="minorHAnsi" w:hAnsiTheme="minorHAnsi" w:eastAsiaTheme="minorEastAsia" w:cstheme="minorHAnsi"/>
          <w:szCs w:val="21"/>
        </w:rPr>
        <w:t>【</w:t>
      </w:r>
      <w:r>
        <w:rPr>
          <w:rFonts w:hint="eastAsia" w:asciiTheme="minorHAnsi" w:hAnsiTheme="minorHAnsi" w:eastAsiaTheme="minorEastAsia" w:cstheme="minorHAnsi"/>
          <w:szCs w:val="21"/>
        </w:rPr>
        <w:t>在美国本科学习法律课程的绝佳机会】；美国大学本科通常不开设法律专业，而是在研究生阶段开设。对于未来希望去美国攻读</w:t>
      </w:r>
      <w:r>
        <w:rPr>
          <w:rFonts w:asciiTheme="minorHAnsi" w:hAnsiTheme="minorHAnsi" w:eastAsiaTheme="minorEastAsia" w:cstheme="minorHAnsi"/>
          <w:szCs w:val="21"/>
        </w:rPr>
        <w:t>LLM</w:t>
      </w:r>
      <w:r>
        <w:rPr>
          <w:rFonts w:hint="eastAsia" w:asciiTheme="minorHAnsi" w:hAnsiTheme="minorHAnsi" w:eastAsiaTheme="minorEastAsia" w:cstheme="minorHAnsi"/>
          <w:szCs w:val="21"/>
        </w:rPr>
        <w:t>法律硕士、或</w:t>
      </w:r>
      <w:r>
        <w:rPr>
          <w:rFonts w:asciiTheme="minorHAnsi" w:hAnsiTheme="minorHAnsi" w:eastAsiaTheme="minorEastAsia" w:cstheme="minorHAnsi"/>
          <w:szCs w:val="21"/>
        </w:rPr>
        <w:t>JD</w:t>
      </w:r>
      <w:r>
        <w:rPr>
          <w:rFonts w:hint="eastAsia" w:asciiTheme="minorHAnsi" w:hAnsiTheme="minorHAnsi" w:eastAsiaTheme="minorEastAsia" w:cstheme="minorHAnsi"/>
          <w:szCs w:val="21"/>
        </w:rPr>
        <w:t>法律博士的中国学生来说，加州大学伯克利的法学访学课程是非常独特的、为将来深造打基础的课程；</w:t>
      </w:r>
    </w:p>
    <w:p>
      <w:pPr>
        <w:pStyle w:val="19"/>
        <w:widowControl/>
        <w:numPr>
          <w:ilvl w:val="0"/>
          <w:numId w:val="3"/>
        </w:numPr>
        <w:spacing w:line="360" w:lineRule="auto"/>
        <w:ind w:firstLineChars="0"/>
        <w:rPr>
          <w:rFonts w:asciiTheme="minorHAnsi" w:hAnsiTheme="minorHAnsi" w:eastAsiaTheme="minorEastAsia" w:cstheme="minorHAnsi"/>
          <w:szCs w:val="21"/>
        </w:rPr>
      </w:pPr>
      <w:r>
        <w:rPr>
          <w:rFonts w:asciiTheme="minorHAnsi" w:hAnsiTheme="minorHAnsi" w:eastAsiaTheme="minorEastAsia" w:cstheme="minorHAnsi"/>
          <w:szCs w:val="21"/>
        </w:rPr>
        <w:t>【在读学生混班上课并建立人际关系网】与</w:t>
      </w:r>
      <w:r>
        <w:rPr>
          <w:rFonts w:hint="eastAsia" w:asciiTheme="minorHAnsi" w:hAnsiTheme="minorHAnsi" w:eastAsiaTheme="minorEastAsia" w:cstheme="minorHAnsi"/>
          <w:szCs w:val="21"/>
        </w:rPr>
        <w:t>伯克利</w:t>
      </w:r>
      <w:r>
        <w:rPr>
          <w:rFonts w:asciiTheme="minorHAnsi" w:hAnsiTheme="minorHAnsi" w:eastAsiaTheme="minorEastAsia" w:cstheme="minorHAnsi"/>
          <w:szCs w:val="21"/>
        </w:rPr>
        <w:t>在读</w:t>
      </w:r>
      <w:r>
        <w:rPr>
          <w:rFonts w:hint="eastAsia" w:asciiTheme="minorHAnsi" w:hAnsiTheme="minorHAnsi" w:eastAsiaTheme="minorEastAsia" w:cstheme="minorHAnsi"/>
          <w:szCs w:val="21"/>
        </w:rPr>
        <w:t>学位</w:t>
      </w:r>
      <w:r>
        <w:rPr>
          <w:rFonts w:asciiTheme="minorHAnsi" w:hAnsiTheme="minorHAnsi" w:eastAsiaTheme="minorEastAsia" w:cstheme="minorHAnsi"/>
          <w:szCs w:val="21"/>
        </w:rPr>
        <w:t>学生一起学习专业学术课程，与国际学生和法学院学位学生建立联系，参加伯克利Berkeley Pre-Law Society主办的社交活动；通过导师计划与当前的法律系学生建立联系，讨论法律问题，并参加相关讲座，最大限度体验伯克利的顶级教学资源；</w:t>
      </w:r>
    </w:p>
    <w:p>
      <w:pPr>
        <w:pStyle w:val="21"/>
        <w:widowControl/>
        <w:numPr>
          <w:ilvl w:val="0"/>
          <w:numId w:val="3"/>
        </w:numPr>
        <w:spacing w:line="360" w:lineRule="auto"/>
        <w:ind w:firstLineChars="0"/>
        <w:jc w:val="left"/>
        <w:rPr>
          <w:rFonts w:asciiTheme="minorHAnsi" w:hAnsiTheme="minorHAnsi" w:eastAsiaTheme="majorEastAsia" w:cstheme="minorHAnsi"/>
          <w:b/>
          <w:kern w:val="0"/>
          <w:szCs w:val="21"/>
        </w:rPr>
      </w:pPr>
      <w:r>
        <w:rPr>
          <w:rFonts w:asciiTheme="minorHAnsi" w:hAnsiTheme="minorHAnsi" w:eastAsiaTheme="minorEastAsia" w:cstheme="minorHAnsi"/>
          <w:szCs w:val="21"/>
        </w:rPr>
        <w:t>【丰富多彩的加州文化体验】</w:t>
      </w:r>
      <w:r>
        <w:rPr>
          <w:rFonts w:hint="eastAsia" w:cs="Calibri" w:asciiTheme="minorHAnsi" w:hAnsiTheme="minorHAnsi"/>
          <w:szCs w:val="21"/>
        </w:rPr>
        <w:t>毗邻旧金山，前往洛杉矶也十分方便，尽享加州地区特色文化。</w:t>
      </w:r>
    </w:p>
    <w:p>
      <w:pPr>
        <w:pStyle w:val="19"/>
        <w:widowControl/>
        <w:spacing w:line="360" w:lineRule="auto"/>
        <w:ind w:left="1260" w:firstLine="0" w:firstLineChars="0"/>
        <w:rPr>
          <w:rFonts w:asciiTheme="minorHAnsi" w:hAnsiTheme="minorHAnsi" w:eastAsiaTheme="minorEastAsia" w:cstheme="minorHAnsi"/>
          <w:szCs w:val="21"/>
        </w:rPr>
      </w:pPr>
    </w:p>
    <w:p>
      <w:pPr>
        <w:widowControl/>
        <w:spacing w:line="360" w:lineRule="auto"/>
        <w:rPr>
          <w:rFonts w:asciiTheme="minorHAnsi" w:hAnsiTheme="minorHAnsi" w:eastAsiaTheme="minorEastAsia" w:cstheme="minorHAnsi"/>
          <w:b/>
          <w:bCs/>
          <w:kern w:val="0"/>
          <w:szCs w:val="21"/>
        </w:rPr>
      </w:pPr>
      <w:r>
        <w:rPr>
          <w:rFonts w:asciiTheme="minorHAnsi" w:hAnsiTheme="minorHAnsi" w:eastAsiaTheme="minorEastAsia" w:cstheme="minorHAnsi"/>
          <w:b/>
          <w:bCs/>
          <w:kern w:val="0"/>
          <w:szCs w:val="21"/>
        </w:rPr>
        <w:t>四、 项目详情</w:t>
      </w:r>
    </w:p>
    <w:p>
      <w:pPr>
        <w:widowControl/>
        <w:spacing w:line="360" w:lineRule="auto"/>
        <w:rPr>
          <w:rFonts w:asciiTheme="minorHAnsi" w:hAnsiTheme="minorHAnsi" w:eastAsiaTheme="minorEastAsia" w:cstheme="minorHAnsi"/>
          <w:szCs w:val="21"/>
        </w:rPr>
      </w:pPr>
      <w:r>
        <w:rPr>
          <w:rFonts w:asciiTheme="minorHAnsi" w:hAnsiTheme="minorHAnsi" w:eastAsiaTheme="minorEastAsia" w:cstheme="minorHAnsi"/>
          <w:szCs w:val="21"/>
        </w:rPr>
        <w:t>【</w:t>
      </w:r>
      <w:r>
        <w:rPr>
          <w:rFonts w:asciiTheme="minorHAnsi" w:hAnsiTheme="minorHAnsi" w:eastAsiaTheme="minorEastAsia" w:cstheme="minorHAnsi"/>
          <w:b/>
          <w:szCs w:val="21"/>
        </w:rPr>
        <w:t>课程日期</w:t>
      </w:r>
      <w:r>
        <w:rPr>
          <w:rFonts w:asciiTheme="minorHAnsi" w:hAnsiTheme="minorHAnsi" w:eastAsiaTheme="minorEastAsia" w:cstheme="minorHAnsi"/>
          <w:szCs w:val="21"/>
        </w:rPr>
        <w:t>】</w:t>
      </w:r>
    </w:p>
    <w:p>
      <w:pPr>
        <w:widowControl/>
        <w:spacing w:line="360" w:lineRule="auto"/>
        <w:rPr>
          <w:rFonts w:asciiTheme="minorHAnsi" w:hAnsiTheme="minorHAnsi" w:eastAsiaTheme="minorEastAsia" w:cstheme="minorHAnsi"/>
          <w:b/>
          <w:szCs w:val="21"/>
        </w:rPr>
      </w:pPr>
      <w:r>
        <w:rPr>
          <w:rFonts w:asciiTheme="minorHAnsi" w:hAnsiTheme="minorHAnsi" w:eastAsiaTheme="minorEastAsia" w:cstheme="minorHAnsi"/>
          <w:b/>
          <w:szCs w:val="21"/>
        </w:rPr>
        <w:t>2020年</w:t>
      </w:r>
      <w:r>
        <w:rPr>
          <w:rFonts w:hint="eastAsia" w:asciiTheme="minorHAnsi" w:hAnsiTheme="minorHAnsi" w:eastAsiaTheme="minorEastAsia" w:cstheme="minorHAnsi"/>
          <w:b/>
          <w:szCs w:val="21"/>
        </w:rPr>
        <w:t>8</w:t>
      </w:r>
      <w:r>
        <w:rPr>
          <w:rFonts w:asciiTheme="minorHAnsi" w:hAnsiTheme="minorHAnsi" w:eastAsiaTheme="minorEastAsia" w:cstheme="minorHAnsi"/>
          <w:b/>
          <w:szCs w:val="21"/>
        </w:rPr>
        <w:t>月1</w:t>
      </w:r>
      <w:r>
        <w:rPr>
          <w:rFonts w:hint="eastAsia" w:asciiTheme="minorHAnsi" w:hAnsiTheme="minorHAnsi" w:eastAsiaTheme="minorEastAsia" w:cstheme="minorHAnsi"/>
          <w:b/>
          <w:szCs w:val="21"/>
        </w:rPr>
        <w:t>9</w:t>
      </w:r>
      <w:r>
        <w:rPr>
          <w:rFonts w:asciiTheme="minorHAnsi" w:hAnsiTheme="minorHAnsi" w:eastAsiaTheme="minorEastAsia" w:cstheme="minorHAnsi"/>
          <w:b/>
          <w:szCs w:val="21"/>
        </w:rPr>
        <w:t xml:space="preserve">日- </w:t>
      </w:r>
      <w:r>
        <w:rPr>
          <w:rFonts w:hint="eastAsia" w:asciiTheme="minorHAnsi" w:hAnsiTheme="minorHAnsi" w:eastAsiaTheme="minorEastAsia" w:cstheme="minorHAnsi"/>
          <w:b/>
          <w:szCs w:val="21"/>
        </w:rPr>
        <w:t>12</w:t>
      </w:r>
      <w:r>
        <w:rPr>
          <w:rFonts w:asciiTheme="minorHAnsi" w:hAnsiTheme="minorHAnsi" w:eastAsiaTheme="minorEastAsia" w:cstheme="minorHAnsi"/>
          <w:b/>
          <w:szCs w:val="21"/>
        </w:rPr>
        <w:t>月1</w:t>
      </w:r>
      <w:r>
        <w:rPr>
          <w:rFonts w:hint="eastAsia" w:asciiTheme="minorHAnsi" w:hAnsiTheme="minorHAnsi" w:eastAsiaTheme="minorEastAsia" w:cstheme="minorHAnsi"/>
          <w:b/>
          <w:szCs w:val="21"/>
        </w:rPr>
        <w:t>8</w:t>
      </w:r>
      <w:r>
        <w:rPr>
          <w:rFonts w:asciiTheme="minorHAnsi" w:hAnsiTheme="minorHAnsi" w:eastAsiaTheme="minorEastAsia" w:cstheme="minorHAnsi"/>
          <w:b/>
          <w:szCs w:val="21"/>
        </w:rPr>
        <w:t>日</w:t>
      </w:r>
    </w:p>
    <w:p>
      <w:pPr>
        <w:spacing w:line="360" w:lineRule="auto"/>
        <w:rPr>
          <w:rFonts w:asciiTheme="minorHAnsi" w:hAnsiTheme="minorHAnsi" w:eastAsiaTheme="minorEastAsia" w:cstheme="minorHAnsi"/>
          <w:b/>
          <w:bCs/>
          <w:kern w:val="0"/>
          <w:szCs w:val="21"/>
        </w:rPr>
      </w:pPr>
      <w:r>
        <w:rPr>
          <w:rFonts w:asciiTheme="minorHAnsi" w:hAnsiTheme="minorHAnsi" w:eastAsiaTheme="minorEastAsia" w:cstheme="minorHAnsi"/>
          <w:szCs w:val="21"/>
        </w:rPr>
        <w:t>【</w:t>
      </w:r>
      <w:r>
        <w:rPr>
          <w:rFonts w:asciiTheme="minorHAnsi" w:hAnsiTheme="minorHAnsi" w:eastAsiaTheme="minorEastAsia" w:cstheme="minorHAnsi"/>
          <w:b/>
          <w:szCs w:val="21"/>
        </w:rPr>
        <w:t>课程内容</w:t>
      </w:r>
      <w:r>
        <w:rPr>
          <w:rFonts w:asciiTheme="minorHAnsi" w:hAnsiTheme="minorHAnsi" w:eastAsiaTheme="minorEastAsia" w:cstheme="minorHAnsi"/>
          <w:szCs w:val="21"/>
        </w:rPr>
        <w:t>】</w:t>
      </w:r>
    </w:p>
    <w:p>
      <w:pPr>
        <w:widowControl/>
        <w:spacing w:line="360" w:lineRule="auto"/>
        <w:rPr>
          <w:rFonts w:asciiTheme="minorHAnsi" w:hAnsiTheme="minorHAnsi" w:eastAsiaTheme="minorEastAsia" w:cstheme="minorHAnsi"/>
          <w:szCs w:val="21"/>
        </w:rPr>
      </w:pPr>
      <w:r>
        <w:rPr>
          <w:rFonts w:asciiTheme="minorHAnsi" w:hAnsiTheme="minorHAnsi" w:eastAsiaTheme="minorEastAsia" w:cstheme="minorHAnsi"/>
          <w:szCs w:val="21"/>
        </w:rPr>
        <w:tab/>
      </w:r>
      <w:r>
        <w:rPr>
          <w:rFonts w:asciiTheme="minorHAnsi" w:hAnsiTheme="minorHAnsi" w:eastAsiaTheme="minorEastAsia" w:cstheme="minorHAnsi"/>
          <w:szCs w:val="21"/>
        </w:rPr>
        <w:t>本项目由全美排名第1</w:t>
      </w:r>
      <w:r>
        <w:rPr>
          <w:rFonts w:hint="eastAsia" w:asciiTheme="minorHAnsi" w:hAnsiTheme="minorHAnsi" w:eastAsiaTheme="minorEastAsia" w:cstheme="minorHAnsi"/>
          <w:szCs w:val="21"/>
        </w:rPr>
        <w:t>0</w:t>
      </w:r>
      <w:r>
        <w:rPr>
          <w:rFonts w:asciiTheme="minorHAnsi" w:hAnsiTheme="minorHAnsi" w:eastAsiaTheme="minorEastAsia" w:cstheme="minorHAnsi"/>
          <w:szCs w:val="21"/>
        </w:rPr>
        <w:t>的加州大学伯克利分校法学院参与设计，旨在帮助学生</w:t>
      </w:r>
      <w:r>
        <w:rPr>
          <w:rFonts w:hint="eastAsia" w:asciiTheme="minorHAnsi" w:hAnsiTheme="minorHAnsi" w:eastAsiaTheme="minorEastAsia" w:cstheme="minorHAnsi"/>
          <w:szCs w:val="21"/>
        </w:rPr>
        <w:t>了解美国司法体系</w:t>
      </w:r>
      <w:r>
        <w:rPr>
          <w:rFonts w:asciiTheme="minorHAnsi" w:hAnsiTheme="minorHAnsi" w:eastAsiaTheme="minorEastAsia" w:cstheme="minorHAnsi"/>
          <w:szCs w:val="21"/>
        </w:rPr>
        <w:t>，学习在快速变化的全球化世界如何成为未来的法律创新者。在读期间学生将有机会参观</w:t>
      </w:r>
      <w:r>
        <w:rPr>
          <w:rFonts w:hint="eastAsia" w:asciiTheme="minorHAnsi" w:hAnsiTheme="minorHAnsi" w:eastAsiaTheme="minorEastAsia" w:cstheme="minorHAnsi"/>
          <w:szCs w:val="21"/>
        </w:rPr>
        <w:t>当地法庭、</w:t>
      </w:r>
      <w:r>
        <w:rPr>
          <w:rFonts w:asciiTheme="minorHAnsi" w:hAnsiTheme="minorHAnsi" w:eastAsiaTheme="minorEastAsia" w:cstheme="minorHAnsi"/>
          <w:szCs w:val="21"/>
        </w:rPr>
        <w:t>旧金山湾区及国家私人律师事务所和公益法律组织</w:t>
      </w:r>
      <w:r>
        <w:rPr>
          <w:rFonts w:hint="eastAsia" w:asciiTheme="minorHAnsi" w:hAnsiTheme="minorHAnsi" w:eastAsiaTheme="minorEastAsia" w:cstheme="minorHAnsi"/>
          <w:szCs w:val="21"/>
        </w:rPr>
        <w:t>，</w:t>
      </w:r>
      <w:r>
        <w:rPr>
          <w:rFonts w:asciiTheme="minorHAnsi" w:hAnsiTheme="minorHAnsi" w:eastAsiaTheme="minorEastAsia" w:cstheme="minorHAnsi"/>
          <w:szCs w:val="21"/>
        </w:rPr>
        <w:t>将课堂所学转换成现实世界的实例和场景，倾听来自旧金山湾区和美国各地的顶级法律专业人士的意见</w:t>
      </w:r>
      <w:r>
        <w:rPr>
          <w:rFonts w:hint="eastAsia" w:asciiTheme="minorHAnsi" w:hAnsiTheme="minorHAnsi" w:eastAsiaTheme="minorEastAsia" w:cstheme="minorHAnsi"/>
          <w:szCs w:val="21"/>
        </w:rPr>
        <w:t>。</w:t>
      </w:r>
    </w:p>
    <w:p>
      <w:pPr>
        <w:widowControl/>
        <w:spacing w:line="360" w:lineRule="auto"/>
        <w:rPr>
          <w:rFonts w:asciiTheme="minorHAnsi" w:hAnsiTheme="minorHAnsi" w:eastAsiaTheme="minorEastAsia" w:cstheme="minorHAnsi"/>
          <w:szCs w:val="21"/>
        </w:rPr>
      </w:pPr>
    </w:p>
    <w:p>
      <w:pPr>
        <w:widowControl/>
        <w:spacing w:line="360" w:lineRule="auto"/>
        <w:rPr>
          <w:rFonts w:asciiTheme="minorHAnsi" w:hAnsiTheme="minorHAnsi" w:eastAsiaTheme="minorEastAsia" w:cstheme="minorHAnsi"/>
          <w:szCs w:val="21"/>
        </w:rPr>
      </w:pPr>
      <w:r>
        <w:rPr>
          <w:rFonts w:asciiTheme="minorHAnsi" w:hAnsiTheme="minorHAnsi" w:eastAsiaTheme="minorEastAsia" w:cstheme="minorHAnsi"/>
          <w:szCs w:val="21"/>
        </w:rPr>
        <w:tab/>
      </w:r>
      <w:bookmarkStart w:id="0" w:name="_Hlk26959603"/>
      <w:r>
        <w:rPr>
          <w:rFonts w:asciiTheme="minorHAnsi" w:hAnsiTheme="minorHAnsi" w:eastAsiaTheme="minorEastAsia" w:cstheme="minorHAnsi"/>
          <w:szCs w:val="21"/>
        </w:rPr>
        <w:t>学生在一个学期中，将修读两门核心课程</w:t>
      </w:r>
      <w:r>
        <w:rPr>
          <w:rFonts w:hint="eastAsia" w:asciiTheme="minorHAnsi" w:hAnsiTheme="minorHAnsi" w:eastAsiaTheme="minorEastAsia" w:cstheme="minorHAnsi"/>
          <w:szCs w:val="21"/>
        </w:rPr>
        <w:t>（每门课4学分）、</w:t>
      </w:r>
      <w:r>
        <w:rPr>
          <w:rFonts w:asciiTheme="minorHAnsi" w:hAnsiTheme="minorHAnsi" w:eastAsiaTheme="minorEastAsia" w:cstheme="minorHAnsi"/>
          <w:szCs w:val="21"/>
        </w:rPr>
        <w:t>一门选修课程</w:t>
      </w:r>
      <w:r>
        <w:rPr>
          <w:rFonts w:hint="eastAsia" w:asciiTheme="minorHAnsi" w:hAnsiTheme="minorHAnsi" w:eastAsiaTheme="minorEastAsia" w:cstheme="minorHAnsi"/>
          <w:szCs w:val="21"/>
        </w:rPr>
        <w:t>（</w:t>
      </w:r>
      <w:r>
        <w:rPr>
          <w:rFonts w:asciiTheme="minorHAnsi" w:hAnsiTheme="minorHAnsi" w:eastAsiaTheme="minorEastAsia" w:cstheme="minorHAnsi"/>
          <w:szCs w:val="21"/>
        </w:rPr>
        <w:t>4学分</w:t>
      </w:r>
      <w:r>
        <w:rPr>
          <w:rFonts w:hint="eastAsia" w:asciiTheme="minorHAnsi" w:hAnsiTheme="minorHAnsi" w:eastAsiaTheme="minorEastAsia" w:cstheme="minorHAnsi"/>
          <w:szCs w:val="21"/>
        </w:rPr>
        <w:t>）、</w:t>
      </w:r>
      <w:r>
        <w:rPr>
          <w:rFonts w:asciiTheme="minorHAnsi" w:hAnsiTheme="minorHAnsi" w:eastAsiaTheme="minorEastAsia" w:cstheme="minorHAnsi"/>
          <w:szCs w:val="21"/>
        </w:rPr>
        <w:t>以及一门关于如何在加州大学伯克利分校取得学术成功的通识类课程</w:t>
      </w:r>
      <w:r>
        <w:rPr>
          <w:rFonts w:hint="eastAsia" w:asciiTheme="minorHAnsi" w:hAnsiTheme="minorHAnsi" w:eastAsiaTheme="minorEastAsia" w:cstheme="minorHAnsi"/>
          <w:szCs w:val="21"/>
        </w:rPr>
        <w:t>（</w:t>
      </w:r>
      <w:r>
        <w:rPr>
          <w:rFonts w:asciiTheme="minorHAnsi" w:hAnsiTheme="minorHAnsi" w:eastAsiaTheme="minorEastAsia" w:cstheme="minorHAnsi"/>
          <w:szCs w:val="21"/>
        </w:rPr>
        <w:t>1学分</w:t>
      </w:r>
      <w:r>
        <w:rPr>
          <w:rFonts w:hint="eastAsia" w:asciiTheme="minorHAnsi" w:hAnsiTheme="minorHAnsi" w:eastAsiaTheme="minorEastAsia" w:cstheme="minorHAnsi"/>
          <w:szCs w:val="21"/>
        </w:rPr>
        <w:t>）</w:t>
      </w:r>
      <w:r>
        <w:rPr>
          <w:rFonts w:asciiTheme="minorHAnsi" w:hAnsiTheme="minorHAnsi" w:eastAsiaTheme="minorEastAsia" w:cstheme="minorHAnsi"/>
          <w:szCs w:val="21"/>
        </w:rPr>
        <w:t>。</w:t>
      </w:r>
      <w:bookmarkEnd w:id="0"/>
    </w:p>
    <w:p>
      <w:pPr>
        <w:pStyle w:val="18"/>
        <w:spacing w:line="360" w:lineRule="auto"/>
        <w:rPr>
          <w:rFonts w:asciiTheme="minorHAnsi" w:hAnsiTheme="minorHAnsi" w:eastAsiaTheme="minorEastAsia" w:cstheme="minorHAnsi"/>
          <w:szCs w:val="21"/>
          <w:u w:val="single"/>
        </w:rPr>
      </w:pPr>
      <w:r>
        <w:rPr>
          <w:rFonts w:asciiTheme="minorHAnsi" w:hAnsiTheme="minorHAnsi" w:eastAsiaTheme="minorEastAsia" w:cstheme="minorHAnsi"/>
          <w:szCs w:val="21"/>
          <w:u w:val="single"/>
        </w:rPr>
        <w:t>必修课：</w:t>
      </w:r>
    </w:p>
    <w:p>
      <w:pPr>
        <w:pStyle w:val="18"/>
        <w:numPr>
          <w:ilvl w:val="0"/>
          <w:numId w:val="4"/>
        </w:numPr>
        <w:spacing w:line="360" w:lineRule="auto"/>
        <w:ind w:firstLineChars="0"/>
        <w:rPr>
          <w:rFonts w:asciiTheme="minorHAnsi" w:hAnsiTheme="minorHAnsi" w:eastAsiaTheme="minorEastAsia" w:cstheme="minorHAnsi"/>
          <w:szCs w:val="21"/>
        </w:rPr>
      </w:pPr>
      <w:r>
        <w:rPr>
          <w:rFonts w:asciiTheme="minorHAnsi" w:hAnsiTheme="minorHAnsi" w:eastAsiaTheme="minorEastAsia" w:cstheme="minorHAnsi"/>
          <w:b/>
          <w:bCs/>
          <w:szCs w:val="21"/>
        </w:rPr>
        <w:t>美国最高法院与公共政策</w:t>
      </w:r>
      <w:r>
        <w:rPr>
          <w:rFonts w:asciiTheme="minorHAnsi" w:hAnsiTheme="minorHAnsi" w:eastAsiaTheme="minorEastAsia" w:cstheme="minorHAnsi"/>
          <w:szCs w:val="21"/>
        </w:rPr>
        <w:t>：讨论最高法院有关宪法学说和公共政策在其创立之初的争议的主要裁决，并将其放到更广泛的历史背景中。考虑法院的重要性及其裁决的影响</w:t>
      </w:r>
      <w:r>
        <w:rPr>
          <w:rFonts w:hint="eastAsia" w:asciiTheme="minorHAnsi" w:hAnsiTheme="minorHAnsi" w:eastAsiaTheme="minorEastAsia" w:cstheme="minorHAnsi"/>
          <w:szCs w:val="21"/>
        </w:rPr>
        <w:t>。</w:t>
      </w:r>
    </w:p>
    <w:p>
      <w:pPr>
        <w:pStyle w:val="18"/>
        <w:numPr>
          <w:ilvl w:val="0"/>
          <w:numId w:val="4"/>
        </w:numPr>
        <w:spacing w:line="360" w:lineRule="auto"/>
        <w:ind w:firstLineChars="0"/>
        <w:rPr>
          <w:rFonts w:asciiTheme="minorHAnsi" w:hAnsiTheme="minorHAnsi" w:eastAsiaTheme="minorEastAsia" w:cstheme="minorHAnsi"/>
          <w:b/>
          <w:bCs/>
          <w:szCs w:val="21"/>
        </w:rPr>
      </w:pPr>
      <w:r>
        <w:rPr>
          <w:rFonts w:asciiTheme="minorHAnsi" w:hAnsiTheme="minorHAnsi" w:eastAsiaTheme="minorEastAsia" w:cstheme="minorHAnsi"/>
          <w:b/>
          <w:bCs/>
          <w:szCs w:val="21"/>
        </w:rPr>
        <w:t>法律、技术与创业：</w:t>
      </w:r>
      <w:r>
        <w:rPr>
          <w:rFonts w:asciiTheme="minorHAnsi" w:hAnsiTheme="minorHAnsi" w:eastAsiaTheme="minorEastAsia" w:cstheme="minorHAnsi"/>
          <w:szCs w:val="21"/>
        </w:rPr>
        <w:t>了解法律在创业企业的建设和成长中</w:t>
      </w:r>
      <w:r>
        <w:rPr>
          <w:rFonts w:hint="eastAsia" w:asciiTheme="minorHAnsi" w:hAnsiTheme="minorHAnsi" w:eastAsiaTheme="minorEastAsia" w:cstheme="minorHAnsi"/>
          <w:szCs w:val="21"/>
        </w:rPr>
        <w:t>发挥</w:t>
      </w:r>
      <w:r>
        <w:rPr>
          <w:rFonts w:asciiTheme="minorHAnsi" w:hAnsiTheme="minorHAnsi" w:eastAsiaTheme="minorEastAsia" w:cstheme="minorHAnsi"/>
          <w:szCs w:val="21"/>
        </w:rPr>
        <w:t>的作用。</w:t>
      </w:r>
    </w:p>
    <w:p>
      <w:pPr>
        <w:pStyle w:val="18"/>
        <w:spacing w:line="360" w:lineRule="auto"/>
        <w:rPr>
          <w:rFonts w:asciiTheme="minorHAnsi" w:hAnsiTheme="minorHAnsi" w:eastAsiaTheme="minorEastAsia" w:cstheme="minorHAnsi"/>
          <w:szCs w:val="21"/>
          <w:u w:val="single"/>
        </w:rPr>
      </w:pPr>
      <w:r>
        <w:rPr>
          <w:rFonts w:asciiTheme="minorHAnsi" w:hAnsiTheme="minorHAnsi" w:eastAsiaTheme="minorEastAsia" w:cstheme="minorHAnsi"/>
          <w:szCs w:val="21"/>
          <w:u w:val="single"/>
        </w:rPr>
        <w:t>选修课：</w:t>
      </w:r>
    </w:p>
    <w:p>
      <w:pPr>
        <w:pStyle w:val="18"/>
        <w:spacing w:line="360" w:lineRule="auto"/>
        <w:rPr>
          <w:rFonts w:asciiTheme="minorHAnsi" w:hAnsiTheme="minorHAnsi" w:eastAsiaTheme="minorEastAsia" w:cstheme="minorHAnsi"/>
          <w:szCs w:val="21"/>
        </w:rPr>
      </w:pPr>
      <w:bookmarkStart w:id="1" w:name="_Hlk26959702"/>
      <w:r>
        <w:rPr>
          <w:rFonts w:asciiTheme="minorHAnsi" w:hAnsiTheme="minorHAnsi" w:eastAsiaTheme="minorEastAsia" w:cstheme="minorHAnsi"/>
          <w:szCs w:val="21"/>
        </w:rPr>
        <w:t>犯罪和刑事司法、人权研究、移民和公民身份、法律与经济II: 政府与法规、比较宪法：以色列为例、数据预测和法律、甘地，法律和民权、基本法律价值、刑法的理论基础、比较宪法、政策与社会等内容。</w:t>
      </w:r>
      <w:bookmarkEnd w:id="1"/>
    </w:p>
    <w:p>
      <w:pPr>
        <w:widowControl/>
        <w:spacing w:line="360" w:lineRule="auto"/>
        <w:rPr>
          <w:rFonts w:asciiTheme="minorHAnsi" w:hAnsiTheme="minorHAnsi" w:eastAsiaTheme="minorEastAsia" w:cstheme="minorHAnsi"/>
          <w:szCs w:val="21"/>
        </w:rPr>
      </w:pPr>
    </w:p>
    <w:p>
      <w:pPr>
        <w:spacing w:line="360" w:lineRule="auto"/>
        <w:ind w:firstLine="420" w:firstLineChars="200"/>
        <w:rPr>
          <w:rFonts w:ascii="Calibri" w:hAnsi="Calibri" w:cs="Calibri" w:eastAsiaTheme="minorEastAsia"/>
          <w:szCs w:val="21"/>
        </w:rPr>
      </w:pPr>
      <w:r>
        <w:rPr>
          <w:rFonts w:ascii="Calibri" w:hAnsi="Calibri" w:cs="Calibri" w:eastAsiaTheme="minorEastAsia"/>
          <w:szCs w:val="21"/>
        </w:rPr>
        <w:t>以上</w:t>
      </w:r>
      <w:r>
        <w:rPr>
          <w:rFonts w:hint="eastAsia" w:ascii="Calibri" w:hAnsi="Calibri" w:cs="Calibri" w:eastAsiaTheme="minorEastAsia"/>
          <w:szCs w:val="21"/>
        </w:rPr>
        <w:t>为</w:t>
      </w:r>
      <w:r>
        <w:rPr>
          <w:rFonts w:ascii="Calibri" w:hAnsi="Calibri" w:cs="Calibri" w:eastAsiaTheme="minorEastAsia"/>
          <w:szCs w:val="21"/>
        </w:rPr>
        <w:t>2020年春季课程内容</w:t>
      </w:r>
      <w:r>
        <w:rPr>
          <w:rFonts w:hint="eastAsia" w:ascii="Calibri" w:hAnsi="Calibri" w:cs="Calibri" w:eastAsiaTheme="minorEastAsia"/>
          <w:szCs w:val="21"/>
        </w:rPr>
        <w:t>，</w:t>
      </w:r>
      <w:r>
        <w:rPr>
          <w:rFonts w:ascii="Calibri" w:hAnsi="Calibri" w:cs="Calibri" w:eastAsiaTheme="minorEastAsia"/>
          <w:szCs w:val="21"/>
        </w:rPr>
        <w:t>仅供参考，</w:t>
      </w:r>
      <w:r>
        <w:rPr>
          <w:rFonts w:hint="eastAsia" w:ascii="Calibri" w:hAnsi="Calibri" w:cs="Calibri" w:eastAsiaTheme="minorEastAsia"/>
          <w:szCs w:val="21"/>
        </w:rPr>
        <w:t>2020秋季</w:t>
      </w:r>
      <w:r>
        <w:rPr>
          <w:rFonts w:ascii="Calibri" w:hAnsi="Calibri" w:cs="Calibri" w:eastAsiaTheme="minorEastAsia"/>
          <w:szCs w:val="21"/>
        </w:rPr>
        <w:t>的具体课程安排，以校方最终公布的信息为准。</w:t>
      </w:r>
    </w:p>
    <w:p>
      <w:pPr>
        <w:spacing w:line="360" w:lineRule="auto"/>
        <w:rPr>
          <w:rFonts w:asciiTheme="minorHAnsi" w:hAnsiTheme="minorHAnsi" w:eastAsiaTheme="minorEastAsia" w:cstheme="minorHAnsi"/>
          <w:b/>
          <w:bCs/>
          <w:szCs w:val="21"/>
        </w:rPr>
      </w:pPr>
    </w:p>
    <w:p>
      <w:pPr>
        <w:spacing w:line="360" w:lineRule="auto"/>
        <w:rPr>
          <w:rFonts w:asciiTheme="minorHAnsi" w:hAnsiTheme="minorHAnsi" w:eastAsiaTheme="minorEastAsia" w:cstheme="minorHAnsi"/>
          <w:b/>
          <w:bCs/>
          <w:szCs w:val="21"/>
        </w:rPr>
      </w:pPr>
      <w:r>
        <w:rPr>
          <w:rFonts w:asciiTheme="minorHAnsi" w:hAnsiTheme="minorHAnsi" w:eastAsiaTheme="minorEastAsia" w:cstheme="minorHAnsi"/>
          <w:b/>
          <w:bCs/>
          <w:szCs w:val="21"/>
        </w:rPr>
        <w:t>【教师团队】</w:t>
      </w:r>
    </w:p>
    <w:p>
      <w:pPr>
        <w:spacing w:line="360" w:lineRule="auto"/>
        <w:ind w:firstLine="632" w:firstLineChars="300"/>
        <w:rPr>
          <w:rFonts w:asciiTheme="minorHAnsi" w:hAnsiTheme="minorHAnsi" w:eastAsiaTheme="minorEastAsia" w:cstheme="minorHAnsi"/>
          <w:b/>
          <w:bCs/>
          <w:szCs w:val="21"/>
        </w:rPr>
      </w:pPr>
      <w:r>
        <w:rPr>
          <w:rFonts w:asciiTheme="minorHAnsi" w:hAnsiTheme="minorHAnsi" w:eastAsiaTheme="minorEastAsia" w:cstheme="minorHAnsi"/>
          <w:b/>
          <w:bCs/>
          <w:szCs w:val="21"/>
        </w:rPr>
        <w:t>课程均由加州大学伯克利分校法</w:t>
      </w:r>
      <w:r>
        <w:rPr>
          <w:rFonts w:hint="eastAsia" w:asciiTheme="minorHAnsi" w:hAnsiTheme="minorHAnsi" w:eastAsiaTheme="minorEastAsia" w:cstheme="minorHAnsi"/>
          <w:b/>
          <w:bCs/>
          <w:szCs w:val="21"/>
        </w:rPr>
        <w:t>学</w:t>
      </w:r>
      <w:r>
        <w:rPr>
          <w:rFonts w:asciiTheme="minorHAnsi" w:hAnsiTheme="minorHAnsi" w:eastAsiaTheme="minorEastAsia" w:cstheme="minorHAnsi"/>
          <w:b/>
          <w:bCs/>
          <w:szCs w:val="21"/>
        </w:rPr>
        <w:t>院</w:t>
      </w:r>
      <w:r>
        <w:rPr>
          <w:rFonts w:hint="eastAsia" w:asciiTheme="minorHAnsi" w:hAnsiTheme="minorHAnsi" w:eastAsiaTheme="minorEastAsia" w:cstheme="minorHAnsi"/>
          <w:b/>
          <w:bCs/>
          <w:szCs w:val="21"/>
        </w:rPr>
        <w:t>的资深</w:t>
      </w:r>
      <w:r>
        <w:rPr>
          <w:rFonts w:asciiTheme="minorHAnsi" w:hAnsiTheme="minorHAnsi" w:eastAsiaTheme="minorEastAsia" w:cstheme="minorHAnsi"/>
          <w:b/>
          <w:bCs/>
          <w:szCs w:val="21"/>
        </w:rPr>
        <w:t>教授或讲师任教；任课老师均在学术方面有极深造诣，并在业界有广泛经验和人脉。以下是本项目的核心学术团队，部分老师将亲自授课：</w:t>
      </w:r>
    </w:p>
    <w:p>
      <w:pPr>
        <w:widowControl/>
        <w:spacing w:line="360" w:lineRule="auto"/>
        <w:rPr>
          <w:rFonts w:asciiTheme="minorHAnsi" w:hAnsiTheme="minorHAnsi" w:eastAsiaTheme="minorEastAsia" w:cstheme="minorHAnsi"/>
          <w:szCs w:val="21"/>
        </w:rPr>
      </w:pPr>
      <w:r>
        <w:rPr>
          <w:rFonts w:asciiTheme="minorHAnsi" w:hAnsiTheme="minorHAnsi" w:eastAsiaTheme="minorEastAsia" w:cstheme="minorHAnsi"/>
          <w:szCs w:val="21"/>
        </w:rPr>
        <w:t>Jonathan Marshall</w:t>
      </w:r>
    </w:p>
    <w:tbl>
      <w:tblPr>
        <w:tblStyle w:val="10"/>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6"/>
        <w:gridCol w:w="7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Pr>
          <w:p>
            <w:pPr>
              <w:spacing w:line="360" w:lineRule="auto"/>
              <w:rPr>
                <w:rFonts w:asciiTheme="minorHAnsi" w:hAnsiTheme="minorHAnsi" w:eastAsiaTheme="minorEastAsia" w:cstheme="minorHAnsi"/>
                <w:szCs w:val="21"/>
              </w:rPr>
            </w:pPr>
            <w:r>
              <w:rPr>
                <w:rFonts w:asciiTheme="minorHAnsi" w:hAnsiTheme="minorHAnsi" w:eastAsiaTheme="minorEastAsia" w:cstheme="minorHAnsi"/>
                <w:szCs w:val="21"/>
              </w:rPr>
              <w:drawing>
                <wp:inline distT="0" distB="0" distL="0" distR="0">
                  <wp:extent cx="1218565" cy="1457325"/>
                  <wp:effectExtent l="0" t="0" r="63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247731" cy="1492206"/>
                          </a:xfrm>
                          <a:prstGeom prst="rect">
                            <a:avLst/>
                          </a:prstGeom>
                          <a:noFill/>
                          <a:ln>
                            <a:noFill/>
                          </a:ln>
                        </pic:spPr>
                      </pic:pic>
                    </a:graphicData>
                  </a:graphic>
                </wp:inline>
              </w:drawing>
            </w:r>
          </w:p>
        </w:tc>
        <w:tc>
          <w:tcPr>
            <w:tcW w:w="7796" w:type="dxa"/>
          </w:tcPr>
          <w:p>
            <w:pPr>
              <w:widowControl/>
              <w:shd w:val="clear" w:color="auto" w:fill="FFFFFF"/>
              <w:spacing w:after="100" w:afterAutospacing="1"/>
              <w:jc w:val="left"/>
              <w:rPr>
                <w:rFonts w:asciiTheme="minorHAnsi" w:hAnsiTheme="minorHAnsi" w:eastAsiaTheme="minorEastAsia" w:cstheme="minorHAnsi"/>
                <w:color w:val="000000" w:themeColor="text1"/>
                <w:kern w:val="0"/>
                <w:szCs w:val="21"/>
                <w14:textFill>
                  <w14:solidFill>
                    <w14:schemeClr w14:val="tx1"/>
                  </w14:solidFill>
                </w14:textFill>
              </w:rPr>
            </w:pPr>
          </w:p>
          <w:p>
            <w:pPr>
              <w:spacing w:line="360" w:lineRule="auto"/>
              <w:rPr>
                <w:rFonts w:asciiTheme="minorHAnsi" w:hAnsiTheme="minorHAnsi" w:eastAsiaTheme="minorEastAsia" w:cstheme="minorHAnsi"/>
                <w:color w:val="212529"/>
                <w:kern w:val="0"/>
                <w:szCs w:val="21"/>
              </w:rPr>
            </w:pPr>
            <w:r>
              <w:rPr>
                <w:rFonts w:asciiTheme="minorHAnsi" w:hAnsiTheme="minorHAnsi" w:eastAsiaTheme="minorEastAsia" w:cstheme="minorHAnsi"/>
                <w:color w:val="000000" w:themeColor="text1"/>
                <w:szCs w:val="21"/>
                <w:shd w:val="clear" w:color="auto" w:fill="FFFFFF"/>
                <w14:textFill>
                  <w14:solidFill>
                    <w14:schemeClr w14:val="tx1"/>
                  </w14:solidFill>
                </w14:textFill>
              </w:rPr>
              <w:t>Jonathan Marshall</w:t>
            </w:r>
            <w:r>
              <w:rPr>
                <w:rFonts w:hint="eastAsia" w:asciiTheme="minorHAnsi" w:hAnsiTheme="minorHAnsi" w:eastAsiaTheme="minorEastAsia" w:cstheme="minorHAnsi"/>
                <w:color w:val="000000" w:themeColor="text1"/>
                <w:szCs w:val="21"/>
                <w:shd w:val="clear" w:color="auto" w:fill="FFFFFF"/>
                <w14:textFill>
                  <w14:solidFill>
                    <w14:schemeClr w14:val="tx1"/>
                  </w14:solidFill>
                </w14:textFill>
              </w:rPr>
              <w:t>是</w:t>
            </w:r>
            <w:r>
              <w:rPr>
                <w:rFonts w:asciiTheme="minorHAnsi" w:hAnsiTheme="minorHAnsi" w:eastAsiaTheme="minorEastAsia" w:cstheme="minorHAnsi"/>
                <w:color w:val="000000" w:themeColor="text1"/>
                <w:szCs w:val="21"/>
                <w:shd w:val="clear" w:color="auto" w:fill="FFFFFF"/>
                <w14:textFill>
                  <w14:solidFill>
                    <w14:schemeClr w14:val="tx1"/>
                  </w14:solidFill>
                </w14:textFill>
              </w:rPr>
              <w:t>伯克利法律研究项目的</w:t>
            </w:r>
            <w:r>
              <w:rPr>
                <w:rFonts w:hint="eastAsia" w:asciiTheme="minorHAnsi" w:hAnsiTheme="minorHAnsi" w:eastAsiaTheme="minorEastAsia" w:cstheme="minorHAnsi"/>
                <w:color w:val="000000" w:themeColor="text1"/>
                <w:szCs w:val="21"/>
                <w:shd w:val="clear" w:color="auto" w:fill="FFFFFF"/>
                <w14:textFill>
                  <w14:solidFill>
                    <w14:schemeClr w14:val="tx1"/>
                  </w14:solidFill>
                </w14:textFill>
              </w:rPr>
              <w:t>学术</w:t>
            </w:r>
            <w:r>
              <w:rPr>
                <w:rFonts w:asciiTheme="minorHAnsi" w:hAnsiTheme="minorHAnsi" w:eastAsiaTheme="minorEastAsia" w:cstheme="minorHAnsi"/>
                <w:color w:val="000000" w:themeColor="text1"/>
                <w:szCs w:val="21"/>
                <w:shd w:val="clear" w:color="auto" w:fill="FFFFFF"/>
                <w14:textFill>
                  <w14:solidFill>
                    <w14:schemeClr w14:val="tx1"/>
                  </w14:solidFill>
                </w14:textFill>
              </w:rPr>
              <w:t>主任。</w:t>
            </w:r>
            <w:r>
              <w:rPr>
                <w:rFonts w:hint="eastAsia" w:asciiTheme="minorHAnsi" w:hAnsiTheme="minorHAnsi" w:eastAsiaTheme="minorEastAsia" w:cstheme="minorHAnsi"/>
                <w:color w:val="000000" w:themeColor="text1"/>
                <w:szCs w:val="21"/>
                <w:shd w:val="clear" w:color="auto" w:fill="FFFFFF"/>
                <w14:textFill>
                  <w14:solidFill>
                    <w14:schemeClr w14:val="tx1"/>
                  </w14:solidFill>
                </w14:textFill>
              </w:rPr>
              <w:t>他</w:t>
            </w:r>
            <w:r>
              <w:rPr>
                <w:rFonts w:asciiTheme="minorHAnsi" w:hAnsiTheme="minorHAnsi" w:eastAsiaTheme="minorEastAsia" w:cstheme="minorHAnsi"/>
                <w:color w:val="000000" w:themeColor="text1"/>
                <w:szCs w:val="21"/>
                <w:shd w:val="clear" w:color="auto" w:fill="FFFFFF"/>
                <w14:textFill>
                  <w14:solidFill>
                    <w14:schemeClr w14:val="tx1"/>
                  </w14:solidFill>
                </w14:textFill>
              </w:rPr>
              <w:t>拥有耶鲁大学东亚研究学士学位以及加州大学伯克利分校的政治学硕士和博士学位。目前是他教授法学基础、亚洲法律与社会、以及</w:t>
            </w:r>
            <w:r>
              <w:rPr>
                <w:rFonts w:asciiTheme="minorHAnsi" w:hAnsiTheme="minorHAnsi" w:eastAsiaTheme="minorEastAsia" w:cstheme="minorHAnsi"/>
                <w:b/>
                <w:bCs/>
                <w:color w:val="000000" w:themeColor="text1"/>
                <w:szCs w:val="21"/>
                <w:shd w:val="clear" w:color="auto" w:fill="FFFFFF"/>
                <w14:textFill>
                  <w14:solidFill>
                    <w14:schemeClr w14:val="tx1"/>
                  </w14:solidFill>
                </w14:textFill>
              </w:rPr>
              <w:t>数据预测和法律</w:t>
            </w:r>
            <w:r>
              <w:rPr>
                <w:rFonts w:asciiTheme="minorHAnsi" w:hAnsiTheme="minorHAnsi" w:eastAsiaTheme="minorEastAsia" w:cstheme="minorHAnsi"/>
                <w:color w:val="000000" w:themeColor="text1"/>
                <w:szCs w:val="21"/>
                <w:shd w:val="clear" w:color="auto" w:fill="FFFFFF"/>
                <w14:textFill>
                  <w14:solidFill>
                    <w14:schemeClr w14:val="tx1"/>
                  </w14:solidFill>
                </w14:textFill>
              </w:rPr>
              <w:t>课程。</w:t>
            </w:r>
            <w:r>
              <w:rPr>
                <w:rFonts w:asciiTheme="minorHAnsi" w:hAnsiTheme="minorHAnsi" w:eastAsiaTheme="minorEastAsia" w:cstheme="minorHAnsi"/>
                <w:color w:val="212529"/>
                <w:kern w:val="0"/>
                <w:szCs w:val="21"/>
              </w:rPr>
              <w:t xml:space="preserve"> </w:t>
            </w:r>
          </w:p>
          <w:p>
            <w:pPr>
              <w:spacing w:line="360" w:lineRule="auto"/>
              <w:rPr>
                <w:rFonts w:asciiTheme="minorHAnsi" w:hAnsiTheme="minorHAnsi" w:eastAsiaTheme="minorEastAsia" w:cstheme="minorHAnsi"/>
                <w:color w:val="000000" w:themeColor="text1"/>
                <w:szCs w:val="21"/>
                <w14:textFill>
                  <w14:solidFill>
                    <w14:schemeClr w14:val="tx1"/>
                  </w14:solidFill>
                </w14:textFill>
              </w:rPr>
            </w:pPr>
          </w:p>
        </w:tc>
      </w:tr>
    </w:tbl>
    <w:p>
      <w:pPr>
        <w:widowControl/>
        <w:spacing w:line="360" w:lineRule="auto"/>
        <w:rPr>
          <w:rFonts w:asciiTheme="minorHAnsi" w:hAnsiTheme="minorHAnsi" w:eastAsiaTheme="minorEastAsia" w:cstheme="minorHAnsi"/>
          <w:szCs w:val="21"/>
        </w:rPr>
      </w:pPr>
    </w:p>
    <w:p>
      <w:pPr>
        <w:widowControl/>
        <w:spacing w:line="360" w:lineRule="auto"/>
        <w:rPr>
          <w:rFonts w:asciiTheme="minorHAnsi" w:hAnsiTheme="minorHAnsi" w:eastAsiaTheme="minorEastAsia" w:cstheme="minorHAnsi"/>
          <w:szCs w:val="21"/>
        </w:rPr>
      </w:pPr>
    </w:p>
    <w:p>
      <w:pPr>
        <w:widowControl/>
        <w:spacing w:line="360" w:lineRule="auto"/>
        <w:rPr>
          <w:rFonts w:asciiTheme="minorHAnsi" w:hAnsiTheme="minorHAnsi" w:eastAsiaTheme="minorEastAsia" w:cstheme="minorHAnsi"/>
          <w:szCs w:val="21"/>
        </w:rPr>
      </w:pPr>
    </w:p>
    <w:p>
      <w:pPr>
        <w:widowControl/>
        <w:spacing w:line="360" w:lineRule="auto"/>
        <w:rPr>
          <w:rFonts w:asciiTheme="minorHAnsi" w:hAnsiTheme="minorHAnsi" w:eastAsiaTheme="minorEastAsia" w:cstheme="minorHAnsi"/>
          <w:szCs w:val="21"/>
        </w:rPr>
      </w:pPr>
      <w:r>
        <w:rPr>
          <w:rFonts w:asciiTheme="minorHAnsi" w:hAnsiTheme="minorHAnsi" w:eastAsiaTheme="minorEastAsia" w:cstheme="minorHAnsi"/>
          <w:szCs w:val="21"/>
        </w:rPr>
        <w:t>R. Ben Brown</w:t>
      </w:r>
    </w:p>
    <w:tbl>
      <w:tblPr>
        <w:tblStyle w:val="10"/>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6"/>
        <w:gridCol w:w="7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4" w:hRule="atLeast"/>
          <w:jc w:val="center"/>
        </w:trPr>
        <w:tc>
          <w:tcPr>
            <w:tcW w:w="2122" w:type="dxa"/>
          </w:tcPr>
          <w:p>
            <w:pPr>
              <w:spacing w:line="360" w:lineRule="auto"/>
              <w:rPr>
                <w:rFonts w:asciiTheme="minorHAnsi" w:hAnsiTheme="minorHAnsi" w:eastAsiaTheme="minorEastAsia" w:cstheme="minorHAnsi"/>
                <w:szCs w:val="21"/>
              </w:rPr>
            </w:pPr>
            <w:r>
              <w:rPr>
                <w:rFonts w:asciiTheme="minorHAnsi" w:hAnsiTheme="minorHAnsi" w:eastAsiaTheme="minorEastAsia" w:cstheme="minorHAnsi"/>
                <w:szCs w:val="21"/>
              </w:rPr>
              <w:drawing>
                <wp:inline distT="0" distB="0" distL="0" distR="0">
                  <wp:extent cx="1256665" cy="1504950"/>
                  <wp:effectExtent l="0" t="0" r="63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287160" cy="1541130"/>
                          </a:xfrm>
                          <a:prstGeom prst="rect">
                            <a:avLst/>
                          </a:prstGeom>
                          <a:noFill/>
                          <a:ln>
                            <a:noFill/>
                          </a:ln>
                        </pic:spPr>
                      </pic:pic>
                    </a:graphicData>
                  </a:graphic>
                </wp:inline>
              </w:drawing>
            </w:r>
          </w:p>
        </w:tc>
        <w:tc>
          <w:tcPr>
            <w:tcW w:w="7796" w:type="dxa"/>
          </w:tcPr>
          <w:p>
            <w:pPr>
              <w:spacing w:line="360" w:lineRule="auto"/>
              <w:rPr>
                <w:rFonts w:asciiTheme="minorHAnsi" w:hAnsiTheme="minorHAnsi" w:eastAsiaTheme="minorEastAsia" w:cstheme="minorHAnsi"/>
                <w:color w:val="000000" w:themeColor="text1"/>
                <w:szCs w:val="21"/>
                <w14:textFill>
                  <w14:solidFill>
                    <w14:schemeClr w14:val="tx1"/>
                  </w14:solidFill>
                </w14:textFill>
              </w:rPr>
            </w:pPr>
            <w:r>
              <w:rPr>
                <w:rFonts w:asciiTheme="minorHAnsi" w:hAnsiTheme="minorHAnsi" w:eastAsiaTheme="minorEastAsia" w:cstheme="minorHAnsi"/>
                <w:color w:val="000000" w:themeColor="text1"/>
                <w:szCs w:val="21"/>
                <w:shd w:val="clear" w:color="auto" w:fill="FFFFFF"/>
                <w14:textFill>
                  <w14:solidFill>
                    <w14:schemeClr w14:val="tx1"/>
                  </w14:solidFill>
                </w14:textFill>
              </w:rPr>
              <w:t>本·布朗（</w:t>
            </w:r>
            <w:bookmarkStart w:id="2" w:name="OLE_LINK3"/>
            <w:bookmarkStart w:id="3" w:name="OLE_LINK2"/>
            <w:r>
              <w:rPr>
                <w:rFonts w:asciiTheme="minorHAnsi" w:hAnsiTheme="minorHAnsi" w:eastAsiaTheme="minorEastAsia" w:cstheme="minorHAnsi"/>
                <w:color w:val="000000" w:themeColor="text1"/>
                <w:szCs w:val="21"/>
                <w:shd w:val="clear" w:color="auto" w:fill="FFFFFF"/>
                <w14:textFill>
                  <w14:solidFill>
                    <w14:schemeClr w14:val="tx1"/>
                  </w14:solidFill>
                </w14:textFill>
              </w:rPr>
              <w:t>R. Ben Brown</w:t>
            </w:r>
            <w:bookmarkEnd w:id="2"/>
            <w:bookmarkEnd w:id="3"/>
            <w:r>
              <w:rPr>
                <w:rFonts w:asciiTheme="minorHAnsi" w:hAnsiTheme="minorHAnsi" w:eastAsiaTheme="minorEastAsia" w:cstheme="minorHAnsi"/>
                <w:color w:val="000000" w:themeColor="text1"/>
                <w:szCs w:val="21"/>
                <w:shd w:val="clear" w:color="auto" w:fill="FFFFFF"/>
                <w14:textFill>
                  <w14:solidFill>
                    <w14:schemeClr w14:val="tx1"/>
                  </w14:solidFill>
                </w14:textFill>
              </w:rPr>
              <w:t>）是加州大学伯克利分校法律研究项目的讲师，他还是法律与社会研究中心的附属学者。他的研究和教学</w:t>
            </w:r>
            <w:r>
              <w:rPr>
                <w:rFonts w:hint="eastAsia" w:asciiTheme="minorHAnsi" w:hAnsiTheme="minorHAnsi" w:eastAsiaTheme="minorEastAsia" w:cstheme="minorHAnsi"/>
                <w:color w:val="000000" w:themeColor="text1"/>
                <w:szCs w:val="21"/>
                <w:shd w:val="clear" w:color="auto" w:fill="FFFFFF"/>
                <w14:textFill>
                  <w14:solidFill>
                    <w14:schemeClr w14:val="tx1"/>
                  </w14:solidFill>
                </w14:textFill>
              </w:rPr>
              <w:t>专业领域</w:t>
            </w:r>
            <w:r>
              <w:rPr>
                <w:rFonts w:asciiTheme="minorHAnsi" w:hAnsiTheme="minorHAnsi" w:eastAsiaTheme="minorEastAsia" w:cstheme="minorHAnsi"/>
                <w:color w:val="000000" w:themeColor="text1"/>
                <w:szCs w:val="21"/>
                <w:shd w:val="clear" w:color="auto" w:fill="FFFFFF"/>
                <w14:textFill>
                  <w14:solidFill>
                    <w14:schemeClr w14:val="tx1"/>
                  </w14:solidFill>
                </w14:textFill>
              </w:rPr>
              <w:t>是美国法律和宪法史。他拥有范德比尔特大学和密歇根大学的法学博士学位。他目前是</w:t>
            </w:r>
            <w:r>
              <w:rPr>
                <w:rFonts w:asciiTheme="minorHAnsi" w:hAnsiTheme="minorHAnsi" w:eastAsiaTheme="minorEastAsia" w:cstheme="minorHAnsi"/>
                <w:b/>
                <w:bCs/>
                <w:color w:val="000000" w:themeColor="text1"/>
                <w:szCs w:val="21"/>
                <w14:textFill>
                  <w14:solidFill>
                    <w14:schemeClr w14:val="tx1"/>
                  </w14:solidFill>
                </w14:textFill>
              </w:rPr>
              <w:t>美国最高法院与公共政策</w:t>
            </w:r>
            <w:r>
              <w:rPr>
                <w:rFonts w:asciiTheme="minorHAnsi" w:hAnsiTheme="minorHAnsi" w:eastAsiaTheme="minorEastAsia" w:cstheme="minorHAnsi"/>
                <w:color w:val="000000" w:themeColor="text1"/>
                <w:szCs w:val="21"/>
                <w14:textFill>
                  <w14:solidFill>
                    <w14:schemeClr w14:val="tx1"/>
                  </w14:solidFill>
                </w14:textFill>
              </w:rPr>
              <w:t>课程的授课老师。</w:t>
            </w:r>
          </w:p>
        </w:tc>
      </w:tr>
    </w:tbl>
    <w:p>
      <w:pPr>
        <w:widowControl/>
        <w:spacing w:line="360" w:lineRule="auto"/>
        <w:rPr>
          <w:rFonts w:asciiTheme="minorHAnsi" w:hAnsiTheme="minorHAnsi" w:eastAsiaTheme="minorEastAsia" w:cstheme="minorHAnsi"/>
          <w:szCs w:val="21"/>
        </w:rPr>
      </w:pPr>
    </w:p>
    <w:p>
      <w:pPr>
        <w:widowControl/>
        <w:spacing w:line="360" w:lineRule="auto"/>
        <w:rPr>
          <w:rFonts w:asciiTheme="minorHAnsi" w:hAnsiTheme="minorHAnsi" w:eastAsiaTheme="minorEastAsia" w:cstheme="minorHAnsi"/>
          <w:szCs w:val="21"/>
        </w:rPr>
      </w:pPr>
      <w:r>
        <w:rPr>
          <w:rFonts w:asciiTheme="minorHAnsi" w:hAnsiTheme="minorHAnsi" w:eastAsiaTheme="minorEastAsia" w:cstheme="minorHAnsi"/>
          <w:szCs w:val="21"/>
        </w:rPr>
        <w:t>Bruno Meyerhof Salama</w:t>
      </w:r>
    </w:p>
    <w:tbl>
      <w:tblPr>
        <w:tblStyle w:val="10"/>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26"/>
        <w:gridCol w:w="7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Pr>
          <w:p>
            <w:pPr>
              <w:spacing w:line="360" w:lineRule="auto"/>
              <w:rPr>
                <w:rFonts w:asciiTheme="minorHAnsi" w:hAnsiTheme="minorHAnsi" w:eastAsiaTheme="minorEastAsia" w:cstheme="minorHAnsi"/>
                <w:szCs w:val="21"/>
              </w:rPr>
            </w:pPr>
            <w:r>
              <w:rPr>
                <w:rFonts w:asciiTheme="minorHAnsi" w:hAnsiTheme="minorHAnsi" w:eastAsiaTheme="minorEastAsia" w:cstheme="minorHAnsi"/>
                <w:szCs w:val="21"/>
              </w:rPr>
              <w:drawing>
                <wp:inline distT="0" distB="0" distL="0" distR="0">
                  <wp:extent cx="1276350" cy="12763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276350" cy="1276350"/>
                          </a:xfrm>
                          <a:prstGeom prst="rect">
                            <a:avLst/>
                          </a:prstGeom>
                          <a:noFill/>
                          <a:ln>
                            <a:noFill/>
                          </a:ln>
                        </pic:spPr>
                      </pic:pic>
                    </a:graphicData>
                  </a:graphic>
                </wp:inline>
              </w:drawing>
            </w:r>
          </w:p>
        </w:tc>
        <w:tc>
          <w:tcPr>
            <w:tcW w:w="7796" w:type="dxa"/>
          </w:tcPr>
          <w:p>
            <w:pPr>
              <w:spacing w:line="360" w:lineRule="auto"/>
              <w:rPr>
                <w:rFonts w:asciiTheme="minorHAnsi" w:hAnsiTheme="minorHAnsi" w:eastAsiaTheme="minorEastAsia" w:cstheme="minorHAnsi"/>
                <w:color w:val="000000" w:themeColor="text1"/>
                <w:szCs w:val="21"/>
                <w14:textFill>
                  <w14:solidFill>
                    <w14:schemeClr w14:val="tx1"/>
                  </w14:solidFill>
                </w14:textFill>
              </w:rPr>
            </w:pPr>
            <w:r>
              <w:rPr>
                <w:rFonts w:asciiTheme="minorHAnsi" w:hAnsiTheme="minorHAnsi" w:eastAsiaTheme="minorEastAsia" w:cstheme="minorHAnsi"/>
                <w:color w:val="000000" w:themeColor="text1"/>
                <w:szCs w:val="21"/>
                <w:shd w:val="clear" w:color="auto" w:fill="FFFFFF"/>
                <w14:textFill>
                  <w14:solidFill>
                    <w14:schemeClr w14:val="tx1"/>
                  </w14:solidFill>
                </w14:textFill>
              </w:rPr>
              <w:t>Bruno Meyerhof Salama是</w:t>
            </w:r>
            <w:bookmarkStart w:id="4" w:name="OLE_LINK5"/>
            <w:bookmarkStart w:id="5" w:name="OLE_LINK4"/>
            <w:r>
              <w:rPr>
                <w:rFonts w:asciiTheme="minorHAnsi" w:hAnsiTheme="minorHAnsi" w:eastAsiaTheme="minorEastAsia" w:cstheme="minorHAnsi"/>
                <w:color w:val="000000" w:themeColor="text1"/>
                <w:szCs w:val="21"/>
                <w:shd w:val="clear" w:color="auto" w:fill="FFFFFF"/>
                <w14:textFill>
                  <w14:solidFill>
                    <w14:schemeClr w14:val="tx1"/>
                  </w14:solidFill>
                </w14:textFill>
              </w:rPr>
              <w:t>巴西圣保罗FGV法学院</w:t>
            </w:r>
            <w:bookmarkEnd w:id="4"/>
            <w:bookmarkEnd w:id="5"/>
            <w:r>
              <w:rPr>
                <w:rFonts w:asciiTheme="minorHAnsi" w:hAnsiTheme="minorHAnsi" w:eastAsiaTheme="minorEastAsia" w:cstheme="minorHAnsi"/>
                <w:color w:val="000000" w:themeColor="text1"/>
                <w:szCs w:val="21"/>
                <w:shd w:val="clear" w:color="auto" w:fill="FFFFFF"/>
                <w14:textFill>
                  <w14:solidFill>
                    <w14:schemeClr w14:val="tx1"/>
                  </w14:solidFill>
                </w14:textFill>
              </w:rPr>
              <w:t>的法学教授，他还是该学院法律</w:t>
            </w:r>
            <w:r>
              <w:rPr>
                <w:rFonts w:hint="eastAsia" w:asciiTheme="minorHAnsi" w:hAnsiTheme="minorHAnsi" w:eastAsiaTheme="minorEastAsia" w:cstheme="minorHAnsi"/>
                <w:color w:val="000000" w:themeColor="text1"/>
                <w:szCs w:val="21"/>
                <w:shd w:val="clear" w:color="auto" w:fill="FFFFFF"/>
                <w14:textFill>
                  <w14:solidFill>
                    <w14:schemeClr w14:val="tx1"/>
                  </w14:solidFill>
                </w14:textFill>
              </w:rPr>
              <w:t>、</w:t>
            </w:r>
            <w:r>
              <w:rPr>
                <w:rFonts w:asciiTheme="minorHAnsi" w:hAnsiTheme="minorHAnsi" w:eastAsiaTheme="minorEastAsia" w:cstheme="minorHAnsi"/>
                <w:color w:val="000000" w:themeColor="text1"/>
                <w:szCs w:val="21"/>
                <w:shd w:val="clear" w:color="auto" w:fill="FFFFFF"/>
                <w14:textFill>
                  <w14:solidFill>
                    <w14:schemeClr w14:val="tx1"/>
                  </w14:solidFill>
                </w14:textFill>
              </w:rPr>
              <w:t xml:space="preserve">经济与治理中心的主任。他拥有加州大学伯克利分校的法学硕士及博士学位，圣保罗FGV经济学院的经济学硕士学位和圣保罗大学法学学士学位。他曾是哥伦比亚大学法学院的客座教授，目前是加州大学伯克利分校法学院的客座教授。 </w:t>
            </w:r>
          </w:p>
        </w:tc>
      </w:tr>
    </w:tbl>
    <w:p>
      <w:pPr>
        <w:widowControl/>
        <w:spacing w:line="360" w:lineRule="auto"/>
        <w:rPr>
          <w:rFonts w:asciiTheme="minorHAnsi" w:hAnsiTheme="minorHAnsi" w:eastAsiaTheme="minorEastAsia" w:cstheme="minorHAnsi"/>
          <w:szCs w:val="21"/>
        </w:rPr>
      </w:pPr>
    </w:p>
    <w:p>
      <w:pPr>
        <w:widowControl/>
        <w:spacing w:line="360" w:lineRule="auto"/>
        <w:rPr>
          <w:rFonts w:asciiTheme="minorHAnsi" w:hAnsiTheme="minorHAnsi" w:eastAsiaTheme="minorEastAsia" w:cstheme="minorHAnsi"/>
          <w:szCs w:val="21"/>
        </w:rPr>
      </w:pPr>
      <w:r>
        <w:rPr>
          <w:rFonts w:asciiTheme="minorHAnsi" w:hAnsiTheme="minorHAnsi" w:eastAsiaTheme="minorEastAsia" w:cstheme="minorHAnsi"/>
          <w:szCs w:val="21"/>
        </w:rPr>
        <w:t>【</w:t>
      </w:r>
      <w:r>
        <w:rPr>
          <w:rFonts w:asciiTheme="minorHAnsi" w:hAnsiTheme="minorHAnsi" w:eastAsiaTheme="minorEastAsia" w:cstheme="minorHAnsi"/>
          <w:b/>
          <w:bCs/>
          <w:kern w:val="0"/>
          <w:szCs w:val="21"/>
        </w:rPr>
        <w:t>项目费用</w:t>
      </w:r>
      <w:r>
        <w:rPr>
          <w:rFonts w:asciiTheme="minorHAnsi" w:hAnsiTheme="minorHAnsi" w:eastAsiaTheme="minorEastAsia" w:cstheme="minorHAnsi"/>
          <w:szCs w:val="21"/>
        </w:rPr>
        <w:t>】</w:t>
      </w:r>
    </w:p>
    <w:tbl>
      <w:tblPr>
        <w:tblStyle w:val="10"/>
        <w:tblW w:w="9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7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952" w:type="dxa"/>
          </w:tcPr>
          <w:p>
            <w:pPr>
              <w:spacing w:line="360" w:lineRule="auto"/>
              <w:rPr>
                <w:rFonts w:asciiTheme="minorHAnsi" w:hAnsiTheme="minorHAnsi" w:eastAsiaTheme="minorEastAsia" w:cstheme="minorHAnsi"/>
                <w:szCs w:val="21"/>
              </w:rPr>
            </w:pPr>
            <w:r>
              <w:rPr>
                <w:rFonts w:asciiTheme="minorHAnsi" w:hAnsiTheme="minorHAnsi" w:eastAsiaTheme="minorEastAsia" w:cstheme="minorHAnsi"/>
                <w:szCs w:val="21"/>
              </w:rPr>
              <w:t>项目总费用：</w:t>
            </w:r>
          </w:p>
        </w:tc>
        <w:tc>
          <w:tcPr>
            <w:tcW w:w="7824" w:type="dxa"/>
          </w:tcPr>
          <w:p>
            <w:pPr>
              <w:spacing w:line="360" w:lineRule="auto"/>
              <w:rPr>
                <w:rFonts w:asciiTheme="minorHAnsi" w:hAnsiTheme="minorHAnsi" w:eastAsiaTheme="minorEastAsia" w:cstheme="minorHAnsi"/>
                <w:szCs w:val="21"/>
              </w:rPr>
            </w:pPr>
            <w:r>
              <w:rPr>
                <w:rFonts w:hint="eastAsia" w:asciiTheme="minorHAnsi" w:hAnsiTheme="minorHAnsi" w:eastAsiaTheme="majorEastAsia" w:cstheme="minorHAnsi"/>
                <w:szCs w:val="21"/>
              </w:rPr>
              <w:t>约2</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17万美元（约合人民币1</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tcPr>
          <w:p>
            <w:pPr>
              <w:spacing w:line="360" w:lineRule="auto"/>
              <w:rPr>
                <w:rFonts w:asciiTheme="minorHAnsi" w:hAnsiTheme="minorHAnsi" w:eastAsiaTheme="minorEastAsia" w:cstheme="minorHAnsi"/>
                <w:szCs w:val="21"/>
              </w:rPr>
            </w:pPr>
            <w:r>
              <w:rPr>
                <w:rFonts w:asciiTheme="minorHAnsi" w:hAnsiTheme="minorHAnsi" w:eastAsiaTheme="minorEastAsia" w:cstheme="minorHAnsi"/>
                <w:szCs w:val="21"/>
              </w:rPr>
              <w:t>费用包括：</w:t>
            </w:r>
          </w:p>
        </w:tc>
        <w:tc>
          <w:tcPr>
            <w:tcW w:w="7824" w:type="dxa"/>
          </w:tcPr>
          <w:p>
            <w:pPr>
              <w:spacing w:line="360" w:lineRule="auto"/>
              <w:rPr>
                <w:rFonts w:asciiTheme="minorHAnsi" w:hAnsiTheme="minorHAnsi" w:eastAsiaTheme="minorEastAsia" w:cstheme="minorHAnsi"/>
                <w:szCs w:val="21"/>
              </w:rPr>
            </w:pPr>
            <w:r>
              <w:rPr>
                <w:rFonts w:asciiTheme="minorHAnsi" w:hAnsiTheme="minorHAnsi" w:eastAsiaTheme="minorEastAsia" w:cstheme="minorHAnsi"/>
                <w:szCs w:val="21"/>
              </w:rPr>
              <w:t>申请费、学费、杂费、国际学生服务费、医疗</w:t>
            </w:r>
            <w:r>
              <w:rPr>
                <w:rFonts w:hint="eastAsia" w:asciiTheme="minorHAnsi" w:hAnsiTheme="minorHAnsi" w:eastAsiaTheme="minorEastAsia" w:cstheme="minorHAnsi"/>
                <w:szCs w:val="21"/>
              </w:rPr>
              <w:t>与意外</w:t>
            </w:r>
            <w:r>
              <w:rPr>
                <w:rFonts w:asciiTheme="minorHAnsi" w:hAnsiTheme="minorHAnsi" w:eastAsiaTheme="minorEastAsia" w:cstheme="minorHAnsi"/>
                <w:szCs w:val="21"/>
              </w:rPr>
              <w:t>保险、</w:t>
            </w:r>
            <w:r>
              <w:rPr>
                <w:rFonts w:hint="eastAsia" w:asciiTheme="minorHAnsi" w:hAnsiTheme="minorHAnsi" w:eastAsiaTheme="minorEastAsia" w:cstheme="minorHAnsi"/>
                <w:szCs w:val="21"/>
              </w:rPr>
              <w:t>接机、</w:t>
            </w:r>
            <w:r>
              <w:rPr>
                <w:rFonts w:asciiTheme="minorHAnsi" w:hAnsiTheme="minorHAnsi" w:eastAsiaTheme="minorEastAsia" w:cstheme="minorHAnsi"/>
                <w:szCs w:val="21"/>
              </w:rPr>
              <w:t>学业支持费用及项目服务费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tcPr>
          <w:p>
            <w:pPr>
              <w:spacing w:line="360" w:lineRule="auto"/>
              <w:rPr>
                <w:rFonts w:asciiTheme="minorHAnsi" w:hAnsiTheme="minorHAnsi" w:eastAsiaTheme="minorEastAsia" w:cstheme="minorHAnsi"/>
                <w:szCs w:val="21"/>
              </w:rPr>
            </w:pPr>
            <w:r>
              <w:rPr>
                <w:rFonts w:asciiTheme="minorHAnsi" w:hAnsiTheme="minorHAnsi" w:eastAsiaTheme="minorEastAsia" w:cstheme="minorHAnsi"/>
                <w:szCs w:val="21"/>
              </w:rPr>
              <w:t>费用不包括：</w:t>
            </w:r>
          </w:p>
        </w:tc>
        <w:tc>
          <w:tcPr>
            <w:tcW w:w="7824" w:type="dxa"/>
          </w:tcPr>
          <w:p>
            <w:pPr>
              <w:spacing w:line="360" w:lineRule="auto"/>
              <w:rPr>
                <w:rFonts w:asciiTheme="minorHAnsi" w:hAnsiTheme="minorHAnsi" w:eastAsiaTheme="minorEastAsia" w:cstheme="minorHAnsi"/>
                <w:szCs w:val="21"/>
              </w:rPr>
            </w:pPr>
            <w:r>
              <w:rPr>
                <w:rFonts w:asciiTheme="minorHAnsi" w:hAnsiTheme="minorHAnsi" w:eastAsiaTheme="minorEastAsia" w:cstheme="minorHAnsi"/>
                <w:szCs w:val="21"/>
              </w:rPr>
              <w:t>国际机票、签证费、住宿费与餐费、以及其它个人花费</w:t>
            </w:r>
          </w:p>
        </w:tc>
      </w:tr>
    </w:tbl>
    <w:p>
      <w:pPr>
        <w:widowControl/>
        <w:spacing w:line="360" w:lineRule="auto"/>
        <w:rPr>
          <w:rFonts w:asciiTheme="minorHAnsi" w:hAnsiTheme="minorHAnsi" w:eastAsiaTheme="minorEastAsia" w:cstheme="minorHAnsi"/>
          <w:kern w:val="0"/>
          <w:szCs w:val="21"/>
        </w:rPr>
      </w:pPr>
    </w:p>
    <w:p>
      <w:pPr>
        <w:spacing w:line="360" w:lineRule="auto"/>
        <w:rPr>
          <w:rFonts w:asciiTheme="minorHAnsi" w:hAnsiTheme="minorHAnsi" w:eastAsiaTheme="minorEastAsia" w:cstheme="minorHAnsi"/>
          <w:b/>
          <w:kern w:val="0"/>
          <w:szCs w:val="21"/>
        </w:rPr>
      </w:pPr>
      <w:r>
        <w:rPr>
          <w:rFonts w:asciiTheme="minorHAnsi" w:hAnsiTheme="minorHAnsi" w:eastAsiaTheme="minorEastAsia" w:cstheme="minorHAnsi"/>
          <w:b/>
          <w:bCs/>
          <w:kern w:val="0"/>
          <w:szCs w:val="21"/>
        </w:rPr>
        <w:t>五、 项目申请</w:t>
      </w:r>
    </w:p>
    <w:p>
      <w:pPr>
        <w:pStyle w:val="18"/>
        <w:numPr>
          <w:ilvl w:val="0"/>
          <w:numId w:val="5"/>
        </w:numPr>
        <w:spacing w:line="360" w:lineRule="auto"/>
        <w:ind w:firstLineChars="0"/>
        <w:rPr>
          <w:rFonts w:asciiTheme="minorHAnsi" w:hAnsiTheme="minorHAnsi" w:eastAsiaTheme="minorEastAsia" w:cstheme="minorHAnsi"/>
          <w:b/>
          <w:kern w:val="0"/>
          <w:szCs w:val="21"/>
        </w:rPr>
      </w:pPr>
      <w:r>
        <w:rPr>
          <w:rFonts w:asciiTheme="minorHAnsi" w:hAnsiTheme="minorHAnsi" w:eastAsiaTheme="minorEastAsia" w:cstheme="minorHAnsi"/>
          <w:b/>
          <w:kern w:val="0"/>
          <w:szCs w:val="21"/>
        </w:rPr>
        <w:t>项目名额</w:t>
      </w:r>
    </w:p>
    <w:p>
      <w:pPr>
        <w:widowControl/>
        <w:spacing w:line="360" w:lineRule="auto"/>
        <w:ind w:firstLine="420"/>
        <w:rPr>
          <w:rFonts w:asciiTheme="minorHAnsi" w:hAnsiTheme="minorHAnsi" w:eastAsiaTheme="minorEastAsia" w:cstheme="minorHAnsi"/>
          <w:szCs w:val="21"/>
        </w:rPr>
      </w:pPr>
      <w:r>
        <w:rPr>
          <w:rFonts w:asciiTheme="minorHAnsi" w:hAnsiTheme="minorHAnsi" w:eastAsiaTheme="minorEastAsia" w:cstheme="minorHAnsi"/>
          <w:kern w:val="0"/>
          <w:szCs w:val="21"/>
        </w:rPr>
        <w:t>依据加州大学伯克利分校的访学学生接收能力，</w:t>
      </w:r>
      <w:r>
        <w:rPr>
          <w:rFonts w:asciiTheme="minorHAnsi" w:hAnsiTheme="minorHAnsi" w:eastAsiaTheme="minorEastAsia" w:cstheme="minorHAnsi"/>
          <w:szCs w:val="21"/>
        </w:rPr>
        <w:t>2020年</w:t>
      </w:r>
      <w:r>
        <w:rPr>
          <w:rFonts w:hint="eastAsia" w:asciiTheme="minorHAnsi" w:hAnsiTheme="minorHAnsi" w:eastAsiaTheme="minorEastAsia" w:cstheme="minorHAnsi"/>
          <w:szCs w:val="21"/>
        </w:rPr>
        <w:t>秋</w:t>
      </w:r>
      <w:r>
        <w:rPr>
          <w:rFonts w:asciiTheme="minorHAnsi" w:hAnsiTheme="minorHAnsi" w:eastAsiaTheme="minorEastAsia" w:cstheme="minorHAnsi"/>
          <w:szCs w:val="21"/>
        </w:rPr>
        <w:t>季法学院学期学分课程（BGA Legal Studies Program）我校</w:t>
      </w:r>
      <w:r>
        <w:rPr>
          <w:rFonts w:asciiTheme="minorHAnsi" w:hAnsiTheme="minorHAnsi" w:eastAsiaTheme="minorEastAsia" w:cstheme="minorHAnsi"/>
          <w:kern w:val="0"/>
          <w:szCs w:val="21"/>
        </w:rPr>
        <w:t>选拔名额为</w:t>
      </w:r>
      <w:r>
        <w:rPr>
          <w:rFonts w:hint="eastAsia" w:asciiTheme="minorHAnsi" w:hAnsiTheme="minorHAnsi" w:eastAsiaTheme="minorEastAsia" w:cstheme="minorHAnsi"/>
          <w:kern w:val="0"/>
          <w:szCs w:val="21"/>
          <w:lang w:val="en-US" w:eastAsia="zh-CN"/>
        </w:rPr>
        <w:t>5</w:t>
      </w:r>
      <w:r>
        <w:rPr>
          <w:rFonts w:asciiTheme="minorHAnsi" w:hAnsiTheme="minorHAnsi" w:eastAsiaTheme="minorEastAsia" w:cstheme="minorHAnsi"/>
          <w:kern w:val="0"/>
          <w:szCs w:val="21"/>
        </w:rPr>
        <w:t>名</w:t>
      </w:r>
      <w:r>
        <w:rPr>
          <w:rFonts w:asciiTheme="minorHAnsi" w:hAnsiTheme="minorHAnsi" w:eastAsiaTheme="minorEastAsia" w:cstheme="minorHAnsi"/>
          <w:szCs w:val="21"/>
        </w:rPr>
        <w:t>。</w:t>
      </w:r>
    </w:p>
    <w:p>
      <w:pPr>
        <w:pStyle w:val="18"/>
        <w:widowControl/>
        <w:numPr>
          <w:ilvl w:val="0"/>
          <w:numId w:val="5"/>
        </w:numPr>
        <w:spacing w:line="360" w:lineRule="auto"/>
        <w:ind w:firstLineChars="0"/>
        <w:rPr>
          <w:rFonts w:asciiTheme="minorHAnsi" w:hAnsiTheme="minorHAnsi" w:eastAsiaTheme="minorEastAsia" w:cstheme="minorHAnsi"/>
          <w:szCs w:val="21"/>
        </w:rPr>
      </w:pPr>
      <w:r>
        <w:rPr>
          <w:rFonts w:asciiTheme="minorHAnsi" w:hAnsiTheme="minorHAnsi" w:eastAsiaTheme="minorEastAsia" w:cstheme="minorHAnsi"/>
          <w:b/>
          <w:kern w:val="0"/>
          <w:szCs w:val="21"/>
        </w:rPr>
        <w:t>项目申请截止日期</w:t>
      </w:r>
      <w:r>
        <w:rPr>
          <w:rFonts w:asciiTheme="minorHAnsi" w:hAnsiTheme="minorHAnsi" w:eastAsiaTheme="minorEastAsia" w:cstheme="minorHAnsi"/>
          <w:kern w:val="0"/>
          <w:szCs w:val="21"/>
        </w:rPr>
        <w:t>：20</w:t>
      </w:r>
      <w:r>
        <w:rPr>
          <w:rFonts w:hint="eastAsia" w:asciiTheme="minorHAnsi" w:hAnsiTheme="minorHAnsi" w:eastAsiaTheme="minorEastAsia" w:cstheme="minorHAnsi"/>
          <w:kern w:val="0"/>
          <w:szCs w:val="21"/>
        </w:rPr>
        <w:t>20</w:t>
      </w:r>
      <w:r>
        <w:rPr>
          <w:rFonts w:asciiTheme="minorHAnsi" w:hAnsiTheme="minorHAnsi" w:eastAsiaTheme="minorEastAsia" w:cstheme="minorHAnsi"/>
          <w:kern w:val="0"/>
          <w:szCs w:val="21"/>
        </w:rPr>
        <w:t>年</w:t>
      </w:r>
      <w:r>
        <w:rPr>
          <w:rFonts w:hint="eastAsia" w:asciiTheme="minorHAnsi" w:hAnsiTheme="minorHAnsi" w:eastAsiaTheme="minorEastAsia" w:cstheme="minorHAnsi"/>
          <w:kern w:val="0"/>
          <w:szCs w:val="21"/>
          <w:lang w:val="en-US" w:eastAsia="zh-CN"/>
        </w:rPr>
        <w:t>4</w:t>
      </w:r>
      <w:r>
        <w:rPr>
          <w:rFonts w:asciiTheme="minorHAnsi" w:hAnsiTheme="minorHAnsi" w:eastAsiaTheme="minorEastAsia" w:cstheme="minorHAnsi"/>
          <w:kern w:val="0"/>
          <w:szCs w:val="21"/>
        </w:rPr>
        <w:t>月</w:t>
      </w:r>
      <w:r>
        <w:rPr>
          <w:rFonts w:hint="eastAsia" w:asciiTheme="minorHAnsi" w:hAnsiTheme="minorHAnsi" w:eastAsiaTheme="minorEastAsia" w:cstheme="minorHAnsi"/>
          <w:kern w:val="0"/>
          <w:szCs w:val="21"/>
          <w:lang w:val="en-US" w:eastAsia="zh-CN"/>
        </w:rPr>
        <w:t>30</w:t>
      </w:r>
      <w:r>
        <w:rPr>
          <w:rFonts w:asciiTheme="minorHAnsi" w:hAnsiTheme="minorHAnsi" w:eastAsiaTheme="minorEastAsia" w:cstheme="minorHAnsi"/>
          <w:kern w:val="0"/>
          <w:szCs w:val="21"/>
        </w:rPr>
        <w:t>日</w:t>
      </w:r>
    </w:p>
    <w:p>
      <w:pPr>
        <w:pStyle w:val="18"/>
        <w:numPr>
          <w:ilvl w:val="0"/>
          <w:numId w:val="5"/>
        </w:numPr>
        <w:spacing w:line="360" w:lineRule="auto"/>
        <w:ind w:firstLineChars="0"/>
        <w:rPr>
          <w:rFonts w:asciiTheme="minorHAnsi" w:hAnsiTheme="minorHAnsi" w:eastAsiaTheme="minorEastAsia" w:cstheme="minorHAnsi"/>
          <w:b/>
          <w:kern w:val="0"/>
          <w:szCs w:val="21"/>
        </w:rPr>
      </w:pPr>
      <w:r>
        <w:rPr>
          <w:rFonts w:asciiTheme="minorHAnsi" w:hAnsiTheme="minorHAnsi" w:eastAsiaTheme="minorEastAsia" w:cstheme="minorHAnsi"/>
          <w:b/>
          <w:kern w:val="0"/>
          <w:szCs w:val="21"/>
        </w:rPr>
        <w:t>选拔要求</w:t>
      </w:r>
    </w:p>
    <w:p>
      <w:pPr>
        <w:pStyle w:val="18"/>
        <w:numPr>
          <w:ilvl w:val="0"/>
          <w:numId w:val="6"/>
        </w:numPr>
        <w:spacing w:line="360" w:lineRule="auto"/>
        <w:ind w:left="360" w:firstLine="0" w:firstLineChars="0"/>
        <w:rPr>
          <w:rFonts w:asciiTheme="minorHAnsi" w:hAnsiTheme="minorHAnsi" w:eastAsiaTheme="minorEastAsia" w:cstheme="minorHAnsi"/>
          <w:szCs w:val="21"/>
        </w:rPr>
      </w:pPr>
      <w:r>
        <w:rPr>
          <w:rFonts w:asciiTheme="minorHAnsi" w:hAnsiTheme="minorHAnsi" w:eastAsiaTheme="minorEastAsia" w:cstheme="minorHAnsi"/>
          <w:szCs w:val="21"/>
        </w:rPr>
        <w:t>仅限本校全日制</w:t>
      </w:r>
      <w:r>
        <w:rPr>
          <w:rFonts w:hint="eastAsia" w:asciiTheme="minorHAnsi" w:hAnsiTheme="minorHAnsi" w:eastAsiaTheme="minorEastAsia" w:cstheme="minorHAnsi"/>
          <w:szCs w:val="21"/>
        </w:rPr>
        <w:t>本科</w:t>
      </w:r>
      <w:r>
        <w:rPr>
          <w:rFonts w:asciiTheme="minorHAnsi" w:hAnsiTheme="minorHAnsi" w:eastAsiaTheme="minorEastAsia" w:cstheme="minorHAnsi"/>
          <w:szCs w:val="21"/>
        </w:rPr>
        <w:t>生</w:t>
      </w:r>
      <w:r>
        <w:rPr>
          <w:rFonts w:hint="eastAsia" w:asciiTheme="minorHAnsi" w:hAnsiTheme="minorHAnsi" w:eastAsiaTheme="minorEastAsia" w:cstheme="minorHAnsi"/>
          <w:szCs w:val="21"/>
        </w:rPr>
        <w:t>，非法律的学生也可以申请。成绩优异、道德品质好，在校期间未受过纪律处分，身</w:t>
      </w:r>
      <w:r>
        <w:rPr>
          <w:rFonts w:asciiTheme="minorHAnsi" w:hAnsiTheme="minorHAnsi" w:eastAsiaTheme="minorEastAsia" w:cstheme="minorHAnsi"/>
          <w:szCs w:val="21"/>
        </w:rPr>
        <w:t>心健康，能顺利完成海外学习任务；</w:t>
      </w:r>
    </w:p>
    <w:p>
      <w:pPr>
        <w:pStyle w:val="18"/>
        <w:numPr>
          <w:ilvl w:val="0"/>
          <w:numId w:val="6"/>
        </w:numPr>
        <w:spacing w:line="360" w:lineRule="auto"/>
        <w:ind w:firstLineChars="0"/>
        <w:rPr>
          <w:rFonts w:asciiTheme="minorHAnsi" w:hAnsiTheme="minorHAnsi" w:eastAsiaTheme="minorEastAsia" w:cstheme="minorHAnsi"/>
          <w:szCs w:val="21"/>
        </w:rPr>
      </w:pPr>
      <w:r>
        <w:rPr>
          <w:rFonts w:asciiTheme="minorHAnsi" w:hAnsiTheme="minorHAnsi" w:eastAsiaTheme="minorEastAsia" w:cstheme="minorHAnsi"/>
          <w:szCs w:val="21"/>
        </w:rPr>
        <w:t>年龄：学生开课时需已满18岁</w:t>
      </w:r>
    </w:p>
    <w:p>
      <w:pPr>
        <w:pStyle w:val="18"/>
        <w:numPr>
          <w:ilvl w:val="0"/>
          <w:numId w:val="6"/>
        </w:numPr>
        <w:spacing w:line="360" w:lineRule="auto"/>
        <w:ind w:firstLineChars="0"/>
        <w:rPr>
          <w:rFonts w:asciiTheme="minorHAnsi" w:hAnsiTheme="minorHAnsi" w:eastAsiaTheme="minorEastAsia" w:cstheme="minorHAnsi"/>
          <w:szCs w:val="21"/>
        </w:rPr>
      </w:pPr>
      <w:r>
        <w:rPr>
          <w:rFonts w:asciiTheme="minorHAnsi" w:hAnsiTheme="minorHAnsi" w:eastAsiaTheme="minorEastAsia" w:cstheme="minorHAnsi"/>
          <w:szCs w:val="21"/>
        </w:rPr>
        <w:t>语言要求：英语水平需达到托福90，或雅思7；</w:t>
      </w:r>
    </w:p>
    <w:p>
      <w:pPr>
        <w:pStyle w:val="18"/>
        <w:numPr>
          <w:ilvl w:val="0"/>
          <w:numId w:val="6"/>
        </w:numPr>
        <w:spacing w:line="360" w:lineRule="auto"/>
        <w:ind w:firstLineChars="0"/>
        <w:rPr>
          <w:rFonts w:asciiTheme="minorHAnsi" w:hAnsiTheme="minorHAnsi" w:eastAsiaTheme="minorEastAsia" w:cstheme="minorHAnsi"/>
          <w:szCs w:val="21"/>
        </w:rPr>
      </w:pPr>
      <w:r>
        <w:rPr>
          <w:rFonts w:asciiTheme="minorHAnsi" w:hAnsiTheme="minorHAnsi" w:eastAsiaTheme="minorEastAsia" w:cstheme="minorHAnsi"/>
          <w:szCs w:val="21"/>
        </w:rPr>
        <w:t>学术要求：GPA 3.0，</w:t>
      </w:r>
      <w:bookmarkStart w:id="6" w:name="_Hlk20138439"/>
      <w:r>
        <w:rPr>
          <w:rFonts w:asciiTheme="minorHAnsi" w:hAnsiTheme="minorHAnsi" w:eastAsiaTheme="minorEastAsia" w:cstheme="minorHAnsi"/>
          <w:szCs w:val="21"/>
        </w:rPr>
        <w:t>入读伯克利课程时必须已完成大二课程</w:t>
      </w:r>
      <w:bookmarkEnd w:id="6"/>
      <w:r>
        <w:rPr>
          <w:rFonts w:asciiTheme="minorHAnsi" w:hAnsiTheme="minorHAnsi" w:eastAsiaTheme="minorEastAsia" w:cstheme="minorHAnsi"/>
          <w:szCs w:val="21"/>
        </w:rPr>
        <w:t>；</w:t>
      </w:r>
      <w:r>
        <w:rPr>
          <w:rFonts w:asciiTheme="minorHAnsi" w:hAnsiTheme="minorHAnsi" w:eastAsiaTheme="minorEastAsia" w:cstheme="minorHAnsi"/>
          <w:szCs w:val="21"/>
        </w:rPr>
        <w:br w:type="textWrapping"/>
      </w:r>
      <w:r>
        <w:rPr>
          <w:rFonts w:asciiTheme="minorHAnsi" w:hAnsiTheme="minorHAnsi" w:eastAsiaTheme="minorEastAsia" w:cstheme="minorHAnsi"/>
          <w:szCs w:val="21"/>
        </w:rPr>
        <w:t>注：如学生英语成绩达到托福85-89分、或雅思6.5分、或大学英语四级550分、或大学英语六级520分，可另外补充提交一份大学老师的英文推荐信，证明其学术英语水平，在获得加州大学伯克利分校国际项目部面试机会并通过面试后，方可获得项目录取；</w:t>
      </w:r>
    </w:p>
    <w:p>
      <w:pPr>
        <w:pStyle w:val="18"/>
        <w:numPr>
          <w:ilvl w:val="0"/>
          <w:numId w:val="6"/>
        </w:numPr>
        <w:spacing w:line="360" w:lineRule="auto"/>
        <w:ind w:firstLineChars="0"/>
        <w:rPr>
          <w:rFonts w:asciiTheme="minorHAnsi" w:hAnsiTheme="minorHAnsi" w:eastAsiaTheme="minorEastAsia" w:cstheme="minorHAnsi"/>
          <w:szCs w:val="21"/>
        </w:rPr>
      </w:pPr>
      <w:r>
        <w:rPr>
          <w:rFonts w:asciiTheme="minorHAnsi" w:hAnsiTheme="minorHAnsi" w:eastAsiaTheme="minorEastAsia" w:cstheme="minorHAnsi"/>
          <w:szCs w:val="21"/>
        </w:rPr>
        <w:t>家庭具有一定经济基础，能够提供访学所需学费及生活费；</w:t>
      </w:r>
    </w:p>
    <w:p>
      <w:pPr>
        <w:pStyle w:val="18"/>
        <w:numPr>
          <w:ilvl w:val="0"/>
          <w:numId w:val="6"/>
        </w:numPr>
        <w:spacing w:line="360" w:lineRule="auto"/>
        <w:ind w:firstLineChars="0"/>
        <w:rPr>
          <w:rFonts w:asciiTheme="minorHAnsi" w:hAnsiTheme="minorHAnsi" w:eastAsiaTheme="minorEastAsia" w:cstheme="minorHAnsi"/>
          <w:szCs w:val="21"/>
        </w:rPr>
      </w:pPr>
      <w:r>
        <w:rPr>
          <w:rFonts w:asciiTheme="minorHAnsi" w:hAnsiTheme="minorHAnsi" w:eastAsiaTheme="minorEastAsia" w:cstheme="minorHAnsi"/>
          <w:szCs w:val="21"/>
        </w:rPr>
        <w:t>通过全美国际教育协会的项目面试、美方大学的学术审核、以及我校院系及国际交流处的派出资格审核。</w:t>
      </w:r>
    </w:p>
    <w:p>
      <w:pPr>
        <w:pStyle w:val="18"/>
        <w:spacing w:line="360" w:lineRule="auto"/>
        <w:ind w:firstLine="0" w:firstLineChars="0"/>
        <w:rPr>
          <w:rFonts w:asciiTheme="minorHAnsi" w:hAnsiTheme="minorHAnsi" w:eastAsiaTheme="minorEastAsia" w:cstheme="minorHAnsi"/>
          <w:b/>
          <w:kern w:val="0"/>
          <w:szCs w:val="21"/>
        </w:rPr>
      </w:pPr>
    </w:p>
    <w:p>
      <w:pPr>
        <w:pStyle w:val="18"/>
        <w:numPr>
          <w:ilvl w:val="0"/>
          <w:numId w:val="7"/>
        </w:numPr>
        <w:spacing w:line="360" w:lineRule="auto"/>
        <w:ind w:firstLineChars="0"/>
        <w:rPr>
          <w:rFonts w:asciiTheme="minorHAnsi" w:hAnsiTheme="minorHAnsi" w:eastAsiaTheme="minorEastAsia" w:cstheme="minorHAnsi"/>
          <w:b/>
          <w:kern w:val="0"/>
          <w:szCs w:val="21"/>
        </w:rPr>
      </w:pPr>
      <w:r>
        <w:rPr>
          <w:rFonts w:asciiTheme="minorHAnsi" w:hAnsiTheme="minorHAnsi" w:eastAsiaTheme="minorEastAsia" w:cstheme="minorHAnsi"/>
          <w:b/>
          <w:kern w:val="0"/>
          <w:szCs w:val="21"/>
        </w:rPr>
        <w:t>项目申请录取方式和报名流程</w:t>
      </w:r>
    </w:p>
    <w:p>
      <w:pPr>
        <w:pStyle w:val="18"/>
        <w:numPr>
          <w:ilvl w:val="0"/>
          <w:numId w:val="8"/>
        </w:numPr>
        <w:spacing w:line="360" w:lineRule="auto"/>
        <w:ind w:firstLineChars="0"/>
        <w:rPr>
          <w:rFonts w:asciiTheme="minorHAnsi" w:hAnsiTheme="minorHAnsi" w:eastAsiaTheme="minorEastAsia" w:cstheme="minorHAnsi"/>
          <w:kern w:val="0"/>
          <w:szCs w:val="21"/>
        </w:rPr>
      </w:pPr>
      <w:r>
        <w:rPr>
          <w:rFonts w:asciiTheme="minorHAnsi" w:hAnsiTheme="minorHAnsi" w:eastAsiaTheme="minorEastAsia" w:cstheme="minorHAnsi"/>
          <w:kern w:val="0"/>
          <w:szCs w:val="21"/>
        </w:rPr>
        <w:t>学生本人提出申请，在学校国际合作交流处（外事处）报名；</w:t>
      </w:r>
    </w:p>
    <w:p>
      <w:pPr>
        <w:pStyle w:val="18"/>
        <w:numPr>
          <w:ilvl w:val="0"/>
          <w:numId w:val="8"/>
        </w:numPr>
        <w:spacing w:line="360" w:lineRule="auto"/>
        <w:ind w:firstLineChars="0"/>
        <w:rPr>
          <w:rFonts w:asciiTheme="minorHAnsi" w:hAnsiTheme="minorHAnsi" w:eastAsiaTheme="minorEastAsia" w:cstheme="minorHAnsi"/>
          <w:kern w:val="0"/>
          <w:szCs w:val="21"/>
        </w:rPr>
      </w:pPr>
      <w:r>
        <w:rPr>
          <w:rFonts w:asciiTheme="minorHAnsi" w:hAnsiTheme="minorHAnsi" w:eastAsiaTheme="minorEastAsia" w:cstheme="minorHAnsi"/>
          <w:szCs w:val="21"/>
        </w:rPr>
        <w:t>同时登录项目选拔管理机构 -- 全美国际教育协会网站</w:t>
      </w:r>
      <w:r>
        <w:fldChar w:fldCharType="begin"/>
      </w:r>
      <w:r>
        <w:instrText xml:space="preserve"> HYPERLINK "http://www.usiea.org" </w:instrText>
      </w:r>
      <w:r>
        <w:fldChar w:fldCharType="separate"/>
      </w:r>
      <w:r>
        <w:rPr>
          <w:rStyle w:val="14"/>
          <w:rFonts w:asciiTheme="minorHAnsi" w:hAnsiTheme="minorHAnsi" w:eastAsiaTheme="minorEastAsia" w:cstheme="minorHAnsi"/>
          <w:szCs w:val="21"/>
        </w:rPr>
        <w:t>www.usiea.org</w:t>
      </w:r>
      <w:r>
        <w:rPr>
          <w:rStyle w:val="14"/>
          <w:rFonts w:asciiTheme="minorHAnsi" w:hAnsiTheme="minorHAnsi" w:eastAsiaTheme="minorEastAsia" w:cstheme="minorHAnsi"/>
          <w:szCs w:val="21"/>
        </w:rPr>
        <w:fldChar w:fldCharType="end"/>
      </w:r>
      <w:r>
        <w:rPr>
          <w:rFonts w:asciiTheme="minorHAnsi" w:hAnsiTheme="minorHAnsi" w:eastAsiaTheme="minorEastAsia" w:cstheme="minorHAnsi"/>
          <w:szCs w:val="21"/>
        </w:rPr>
        <w:t xml:space="preserve"> 填写《世界名校访学20</w:t>
      </w:r>
      <w:r>
        <w:rPr>
          <w:rFonts w:hint="eastAsia" w:asciiTheme="minorHAnsi" w:hAnsiTheme="minorHAnsi" w:eastAsiaTheme="minorEastAsia" w:cstheme="minorHAnsi"/>
          <w:szCs w:val="21"/>
        </w:rPr>
        <w:t>20</w:t>
      </w:r>
      <w:r>
        <w:rPr>
          <w:rFonts w:asciiTheme="minorHAnsi" w:hAnsiTheme="minorHAnsi" w:eastAsiaTheme="minorEastAsia" w:cstheme="minorHAnsi"/>
          <w:szCs w:val="21"/>
        </w:rPr>
        <w:t>-202</w:t>
      </w:r>
      <w:r>
        <w:rPr>
          <w:rFonts w:hint="eastAsia" w:asciiTheme="minorHAnsi" w:hAnsiTheme="minorHAnsi" w:eastAsiaTheme="minorEastAsia" w:cstheme="minorHAnsi"/>
          <w:szCs w:val="21"/>
        </w:rPr>
        <w:t>1</w:t>
      </w:r>
      <w:r>
        <w:rPr>
          <w:rFonts w:asciiTheme="minorHAnsi" w:hAnsiTheme="minorHAnsi" w:eastAsiaTheme="minorEastAsia" w:cstheme="minorHAnsi"/>
          <w:szCs w:val="21"/>
        </w:rPr>
        <w:t>学年</w:t>
      </w:r>
      <w:r>
        <w:rPr>
          <w:rFonts w:hint="eastAsia" w:asciiTheme="minorHAnsi" w:hAnsiTheme="minorHAnsi" w:eastAsiaTheme="minorEastAsia" w:cstheme="minorHAnsi"/>
          <w:szCs w:val="21"/>
        </w:rPr>
        <w:t>夏秋</w:t>
      </w:r>
      <w:r>
        <w:rPr>
          <w:rFonts w:asciiTheme="minorHAnsi" w:hAnsiTheme="minorHAnsi" w:eastAsiaTheme="minorEastAsia" w:cstheme="minorHAnsi"/>
          <w:szCs w:val="21"/>
        </w:rPr>
        <w:t>项目报名表》，网上报名的时间决定录取的顺序和安排宿舍的顺序；</w:t>
      </w:r>
    </w:p>
    <w:p>
      <w:pPr>
        <w:pStyle w:val="18"/>
        <w:numPr>
          <w:ilvl w:val="0"/>
          <w:numId w:val="8"/>
        </w:numPr>
        <w:spacing w:line="360" w:lineRule="auto"/>
        <w:ind w:firstLineChars="0"/>
        <w:rPr>
          <w:rFonts w:asciiTheme="minorHAnsi" w:hAnsiTheme="minorHAnsi" w:eastAsiaTheme="minorEastAsia" w:cstheme="minorHAnsi"/>
          <w:kern w:val="0"/>
          <w:szCs w:val="21"/>
        </w:rPr>
      </w:pPr>
      <w:r>
        <w:rPr>
          <w:rFonts w:asciiTheme="minorHAnsi" w:hAnsiTheme="minorHAnsi" w:eastAsiaTheme="minorEastAsia" w:cstheme="minorHAnsi"/>
          <w:szCs w:val="21"/>
        </w:rPr>
        <w:t>学生申请资料经初步审核后，参加面试确定预录取名单；</w:t>
      </w:r>
    </w:p>
    <w:p>
      <w:pPr>
        <w:pStyle w:val="18"/>
        <w:numPr>
          <w:ilvl w:val="0"/>
          <w:numId w:val="8"/>
        </w:numPr>
        <w:spacing w:line="360" w:lineRule="auto"/>
        <w:ind w:firstLineChars="0"/>
        <w:rPr>
          <w:rFonts w:ascii="Calibri" w:hAnsi="Calibri" w:cs="Calibri"/>
          <w:color w:val="000000" w:themeColor="text1"/>
          <w:szCs w:val="21"/>
          <w:highlight w:val="none"/>
          <w14:textFill>
            <w14:solidFill>
              <w14:schemeClr w14:val="tx1"/>
            </w14:solidFill>
          </w14:textFill>
        </w:rPr>
      </w:pPr>
      <w:r>
        <w:rPr>
          <w:rFonts w:asciiTheme="minorHAnsi" w:hAnsiTheme="minorHAnsi" w:eastAsiaTheme="minorEastAsia" w:cstheme="minorHAnsi"/>
          <w:szCs w:val="21"/>
        </w:rPr>
        <w:t>学生提交正式申请材料并缴纳项目费用，获得学校录取及签证后赴美学习。</w:t>
      </w:r>
    </w:p>
    <w:p>
      <w:pPr>
        <w:pStyle w:val="18"/>
        <w:numPr>
          <w:ilvl w:val="0"/>
          <w:numId w:val="8"/>
        </w:numPr>
        <w:spacing w:line="360" w:lineRule="auto"/>
        <w:ind w:firstLineChars="0"/>
        <w:rPr>
          <w:rFonts w:ascii="Calibri" w:hAnsi="Calibri" w:cs="Calibri"/>
          <w:color w:val="000000" w:themeColor="text1"/>
          <w:szCs w:val="21"/>
          <w:highlight w:val="none"/>
          <w14:textFill>
            <w14:solidFill>
              <w14:schemeClr w14:val="tx1"/>
            </w14:solidFill>
          </w14:textFill>
        </w:rPr>
      </w:pPr>
      <w:r>
        <w:rPr>
          <w:rFonts w:hint="eastAsia" w:ascii="Calibri" w:hAnsi="Calibri" w:cs="Calibri"/>
          <w:color w:val="000000" w:themeColor="text1"/>
          <w:szCs w:val="21"/>
          <w:highlight w:val="none"/>
          <w14:textFill>
            <w14:solidFill>
              <w14:schemeClr w14:val="tx1"/>
            </w14:solidFill>
          </w14:textFill>
        </w:rPr>
        <w:t>咨询电话：</w:t>
      </w:r>
    </w:p>
    <w:p>
      <w:pPr>
        <w:spacing w:line="360" w:lineRule="auto"/>
        <w:ind w:firstLine="211" w:firstLineChars="100"/>
        <w:rPr>
          <w:rFonts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国际交流处综合楼707 廖老师 电话：020-84096080 </w:t>
      </w:r>
    </w:p>
    <w:p>
      <w:pPr>
        <w:spacing w:line="360" w:lineRule="auto"/>
        <w:ind w:firstLine="211" w:firstLineChars="100"/>
        <w:rPr>
          <w:rFonts w:hint="eastAsia"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全美国际教育协会咨询电话: </w:t>
      </w:r>
    </w:p>
    <w:p>
      <w:pPr>
        <w:spacing w:line="360" w:lineRule="auto"/>
        <w:ind w:firstLine="211" w:firstLineChars="100"/>
        <w:rPr>
          <w:rFonts w:hint="eastAsia" w:ascii="Calibri" w:hAnsi="Calibri" w:cs="Calibri"/>
          <w:b/>
          <w:color w:val="000000" w:themeColor="text1"/>
          <w:kern w:val="0"/>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曾老师</w:t>
      </w:r>
      <w:r>
        <w:rPr>
          <w:rFonts w:hint="eastAsia" w:ascii="Calibri" w:hAnsi="Calibri" w:cs="Calibri"/>
          <w:b/>
          <w:color w:val="000000" w:themeColor="text1"/>
          <w:kern w:val="0"/>
          <w:sz w:val="21"/>
          <w:szCs w:val="21"/>
          <w:highlight w:val="none"/>
          <w14:textFill>
            <w14:solidFill>
              <w14:schemeClr w14:val="tx1"/>
            </w14:solidFill>
          </w14:textFill>
        </w:rPr>
        <w:t xml:space="preserve">189 2278 0945（微信同，周一至周五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00</w:t>
      </w:r>
      <w:r>
        <w:rPr>
          <w:rFonts w:hint="eastAsia" w:ascii="Calibri" w:hAnsi="Calibri" w:cs="Calibri"/>
          <w:b/>
          <w:color w:val="000000" w:themeColor="text1"/>
          <w:kern w:val="0"/>
          <w:sz w:val="21"/>
          <w:szCs w:val="21"/>
          <w:highlight w:val="none"/>
          <w14:textFill>
            <w14:solidFill>
              <w14:schemeClr w14:val="tx1"/>
            </w14:solidFill>
          </w14:textFill>
        </w:rPr>
        <w:t>）</w:t>
      </w:r>
    </w:p>
    <w:p>
      <w:pPr>
        <w:spacing w:line="360" w:lineRule="auto"/>
        <w:ind w:firstLine="211" w:firstLineChars="100"/>
        <w:rPr>
          <w:rFonts w:asciiTheme="minorHAnsi" w:hAnsiTheme="minorHAnsi" w:eastAsiaTheme="minorEastAsia" w:cstheme="minorHAnsi"/>
          <w:kern w:val="0"/>
          <w:szCs w:val="21"/>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朱老师 138 2976 1018</w:t>
      </w:r>
      <w:r>
        <w:rPr>
          <w:rFonts w:hint="eastAsia" w:ascii="Calibri" w:hAnsi="Calibri" w:cs="Calibri"/>
          <w:b/>
          <w:color w:val="000000" w:themeColor="text1"/>
          <w:kern w:val="0"/>
          <w:sz w:val="21"/>
          <w:szCs w:val="21"/>
          <w:highlight w:val="none"/>
          <w14:textFill>
            <w14:solidFill>
              <w14:schemeClr w14:val="tx1"/>
            </w14:solidFill>
          </w14:textFill>
        </w:rPr>
        <w:t xml:space="preserve">（微信同，周一至周五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00</w:t>
      </w:r>
      <w:r>
        <w:rPr>
          <w:rFonts w:hint="eastAsia" w:ascii="Calibri" w:hAnsi="Calibri" w:cs="Calibri"/>
          <w:b/>
          <w:color w:val="000000" w:themeColor="text1"/>
          <w:kern w:val="0"/>
          <w:sz w:val="21"/>
          <w:szCs w:val="21"/>
          <w:highlight w:val="none"/>
          <w14:textFill>
            <w14:solidFill>
              <w14:schemeClr w14:val="tx1"/>
            </w14:solidFill>
          </w14:textFill>
        </w:rPr>
        <w:t>）</w:t>
      </w:r>
      <w:bookmarkStart w:id="7" w:name="_GoBack"/>
      <w:bookmarkEnd w:id="7"/>
    </w:p>
    <w:p>
      <w:pPr>
        <w:spacing w:line="360" w:lineRule="auto"/>
        <w:rPr>
          <w:rFonts w:asciiTheme="minorHAnsi" w:hAnsiTheme="minorHAnsi" w:eastAsiaTheme="majorEastAsia" w:cstheme="minorHAnsi"/>
          <w:szCs w:val="21"/>
        </w:rPr>
      </w:pPr>
    </w:p>
    <w:p>
      <w:pPr>
        <w:widowControl/>
        <w:spacing w:line="360" w:lineRule="auto"/>
        <w:rPr>
          <w:rStyle w:val="14"/>
          <w:rFonts w:asciiTheme="minorHAnsi" w:hAnsiTheme="minorHAnsi" w:cstheme="minorHAnsi"/>
          <w:color w:val="auto"/>
          <w:kern w:val="0"/>
          <w:szCs w:val="21"/>
        </w:rPr>
      </w:pPr>
      <w:r>
        <w:rPr>
          <w:rStyle w:val="14"/>
          <w:rFonts w:asciiTheme="minorHAnsi" w:hAnsiTheme="minorHAnsi" w:cstheme="minorHAnsi"/>
          <w:color w:val="auto"/>
          <w:kern w:val="0"/>
          <w:szCs w:val="21"/>
        </w:rPr>
        <w:t>———————————————————————————————————————</w:t>
      </w:r>
    </w:p>
    <w:p>
      <w:pPr>
        <w:widowControl/>
        <w:rPr>
          <w:rStyle w:val="14"/>
          <w:rFonts w:asciiTheme="minorHAnsi" w:hAnsiTheme="minorHAnsi" w:cstheme="minorHAnsi"/>
          <w:b/>
          <w:color w:val="auto"/>
          <w:kern w:val="0"/>
          <w:sz w:val="20"/>
          <w:szCs w:val="21"/>
        </w:rPr>
      </w:pPr>
      <w:r>
        <w:rPr>
          <w:rStyle w:val="14"/>
          <w:rFonts w:asciiTheme="minorHAnsi" w:hAnsiTheme="minorHAnsi" w:cstheme="minorHAnsi"/>
          <w:b/>
          <w:color w:val="auto"/>
          <w:kern w:val="0"/>
          <w:sz w:val="20"/>
          <w:szCs w:val="21"/>
        </w:rPr>
        <w:t>关于全美国际教育协会</w:t>
      </w:r>
    </w:p>
    <w:p>
      <w:pPr>
        <w:widowControl/>
        <w:rPr>
          <w:rStyle w:val="14"/>
          <w:rFonts w:asciiTheme="minorHAnsi" w:hAnsiTheme="minorHAnsi" w:cstheme="minorHAnsi"/>
          <w:b/>
          <w:kern w:val="0"/>
          <w:sz w:val="20"/>
          <w:szCs w:val="21"/>
        </w:rPr>
      </w:pPr>
      <w:r>
        <w:fldChar w:fldCharType="begin"/>
      </w:r>
      <w:r>
        <w:instrText xml:space="preserve"> HYPERLINK "http://www.usiea.org" </w:instrText>
      </w:r>
      <w:r>
        <w:fldChar w:fldCharType="separate"/>
      </w:r>
      <w:r>
        <w:rPr>
          <w:rStyle w:val="14"/>
          <w:rFonts w:asciiTheme="minorHAnsi" w:hAnsiTheme="minorHAnsi" w:cstheme="minorHAnsi"/>
          <w:b/>
          <w:kern w:val="0"/>
          <w:sz w:val="20"/>
          <w:szCs w:val="21"/>
        </w:rPr>
        <w:t>www.usiea.org</w:t>
      </w:r>
      <w:r>
        <w:rPr>
          <w:rStyle w:val="14"/>
          <w:rFonts w:asciiTheme="minorHAnsi" w:hAnsiTheme="minorHAnsi" w:cstheme="minorHAnsi"/>
          <w:b/>
          <w:kern w:val="0"/>
          <w:sz w:val="20"/>
          <w:szCs w:val="21"/>
        </w:rPr>
        <w:fldChar w:fldCharType="end"/>
      </w:r>
    </w:p>
    <w:p>
      <w:pPr>
        <w:widowControl/>
        <w:rPr>
          <w:rStyle w:val="14"/>
          <w:rFonts w:asciiTheme="minorHAnsi" w:hAnsiTheme="minorHAnsi" w:cstheme="minorHAnsi"/>
          <w:b/>
          <w:color w:val="auto"/>
          <w:kern w:val="0"/>
          <w:sz w:val="20"/>
          <w:szCs w:val="21"/>
        </w:rPr>
      </w:pPr>
    </w:p>
    <w:p>
      <w:pPr>
        <w:widowControl/>
        <w:rPr>
          <w:rStyle w:val="14"/>
          <w:rFonts w:asciiTheme="minorHAnsi" w:hAnsiTheme="minorHAnsi" w:cstheme="minorHAnsi"/>
          <w:kern w:val="0"/>
          <w:sz w:val="20"/>
          <w:szCs w:val="21"/>
        </w:rPr>
      </w:pPr>
      <w:r>
        <w:rPr>
          <w:rStyle w:val="14"/>
          <w:rFonts w:asciiTheme="minorHAnsi" w:hAnsiTheme="minorHAnsi" w:cstheme="minorHAnsi"/>
          <w:color w:val="auto"/>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rPr>
          <w:rFonts w:asciiTheme="minorHAnsi" w:hAnsiTheme="minorHAnsi" w:cstheme="minorHAnsi"/>
          <w:kern w:val="0"/>
          <w:sz w:val="20"/>
          <w:szCs w:val="21"/>
        </w:rPr>
      </w:pPr>
    </w:p>
    <w:p>
      <w:pPr>
        <w:widowControl/>
        <w:rPr>
          <w:rFonts w:asciiTheme="minorHAnsi" w:hAnsiTheme="minorHAnsi" w:cstheme="minorHAnsi"/>
          <w:kern w:val="0"/>
          <w:sz w:val="20"/>
          <w:szCs w:val="21"/>
        </w:rPr>
      </w:pPr>
      <w:r>
        <w:rPr>
          <w:rFonts w:asciiTheme="minorHAnsi" w:hAnsiTheme="minorHAnsi" w:cstheme="minorHAnsi"/>
          <w:kern w:val="0"/>
          <w:sz w:val="20"/>
          <w:szCs w:val="21"/>
        </w:rPr>
        <w:t>全美国际教育协会受美国哥伦比亚大学、宾夕法尼亚大学、波士顿大学、加州大学伯克利分校、加州大学河滨分校、加州大学圣地亚哥分校、威斯康星大学麦迪逊分校、乔治华盛顿大学、纽约大学、华盛顿大学、英国伦敦政治经济学院、剑桥大学、加拿大多伦多大学、维多利亚大学、英属哥伦比亚大学、麦吉尔大学和澳大利亚昆士兰大学、新南威尔士大学、阿德莱德大学的委托，与中国80多所高校合作选拔品学兼优的学生赴海外参加访学项目。</w:t>
      </w:r>
    </w:p>
    <w:p>
      <w:pPr>
        <w:widowControl/>
        <w:rPr>
          <w:rFonts w:asciiTheme="minorHAnsi" w:hAnsiTheme="minorHAnsi" w:cstheme="minorHAnsi"/>
          <w:kern w:val="0"/>
          <w:sz w:val="20"/>
          <w:szCs w:val="21"/>
        </w:rPr>
      </w:pPr>
    </w:p>
    <w:p>
      <w:pPr>
        <w:widowControl/>
        <w:rPr>
          <w:rFonts w:asciiTheme="minorHAnsi" w:hAnsiTheme="minorHAnsi" w:cstheme="minorHAnsi"/>
          <w:kern w:val="0"/>
          <w:sz w:val="20"/>
          <w:szCs w:val="21"/>
        </w:rPr>
      </w:pPr>
      <w:r>
        <w:rPr>
          <w:rFonts w:asciiTheme="minorHAnsi" w:hAnsiTheme="minorHAnsi" w:cs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asciiTheme="minorHAnsi" w:hAnsiTheme="minorHAnsi" w:cstheme="minorHAnsi"/>
          <w:kern w:val="0"/>
          <w:sz w:val="22"/>
        </w:rPr>
      </w:pPr>
      <w:r>
        <w:rPr>
          <w:rFonts w:asciiTheme="minorHAnsi" w:hAnsiTheme="minorHAnsi" w:cstheme="minorHAnsi"/>
          <w:kern w:val="0"/>
          <w:sz w:val="20"/>
          <w:szCs w:val="21"/>
        </w:rPr>
        <w:t>全美国际教育协会官网：</w:t>
      </w:r>
      <w:r>
        <w:fldChar w:fldCharType="begin"/>
      </w:r>
      <w:r>
        <w:instrText xml:space="preserve"> HYPERLINK "http://www.usiea.org" </w:instrText>
      </w:r>
      <w:r>
        <w:fldChar w:fldCharType="separate"/>
      </w:r>
      <w:r>
        <w:rPr>
          <w:rFonts w:asciiTheme="minorHAnsi" w:hAnsiTheme="minorHAnsi" w:cstheme="minorHAnsi"/>
          <w:color w:val="0068B7"/>
          <w:kern w:val="0"/>
          <w:sz w:val="22"/>
        </w:rPr>
        <w:t>www.usiea.org</w:t>
      </w:r>
      <w:r>
        <w:rPr>
          <w:rFonts w:asciiTheme="minorHAnsi" w:hAnsiTheme="minorHAnsi" w:cstheme="minorHAnsi"/>
          <w:color w:val="0068B7"/>
          <w:kern w:val="0"/>
          <w:sz w:val="22"/>
        </w:rPr>
        <w:fldChar w:fldCharType="end"/>
      </w:r>
      <w:r>
        <w:rPr>
          <w:rFonts w:asciiTheme="minorHAnsi" w:hAnsiTheme="minorHAnsi" w:cstheme="minorHAnsi"/>
          <w:kern w:val="0"/>
          <w:sz w:val="22"/>
        </w:rPr>
        <w:t xml:space="preserve"> </w:t>
      </w:r>
    </w:p>
    <w:p>
      <w:pPr>
        <w:spacing w:line="360" w:lineRule="auto"/>
        <w:rPr>
          <w:rFonts w:asciiTheme="minorHAnsi" w:hAnsiTheme="minorHAnsi" w:cstheme="minorHAnsi"/>
          <w:kern w:val="0"/>
          <w:sz w:val="20"/>
          <w:szCs w:val="21"/>
        </w:rPr>
      </w:pPr>
      <w:r>
        <w:rPr>
          <w:rFonts w:asciiTheme="minorHAnsi" w:hAnsiTheme="minorHAnsi" w:cstheme="minorHAnsi"/>
          <w:kern w:val="0"/>
          <w:sz w:val="20"/>
          <w:szCs w:val="21"/>
        </w:rPr>
        <w:t>全美国际教育协会官微：全美国际访学微刊</w:t>
      </w:r>
    </w:p>
    <w:p>
      <w:pPr>
        <w:spacing w:line="360" w:lineRule="auto"/>
        <w:rPr>
          <w:rFonts w:asciiTheme="minorHAnsi" w:hAnsiTheme="minorHAnsi" w:eastAsiaTheme="majorEastAsia" w:cstheme="minorHAnsi"/>
          <w:szCs w:val="21"/>
        </w:rPr>
      </w:pPr>
      <w:r>
        <w:rPr>
          <w:rFonts w:asciiTheme="minorHAnsi" w:hAnsiTheme="minorHAnsi" w:cstheme="minorHAnsi"/>
          <w:kern w:val="0"/>
          <w:sz w:val="20"/>
          <w:szCs w:val="21"/>
        </w:rPr>
        <w:t>项目邮箱咨询：</w:t>
      </w:r>
      <w:r>
        <w:fldChar w:fldCharType="begin"/>
      </w:r>
      <w:r>
        <w:instrText xml:space="preserve"> HYPERLINK "mailto:visitucb@yeah.net" </w:instrText>
      </w:r>
      <w:r>
        <w:fldChar w:fldCharType="separate"/>
      </w:r>
      <w:r>
        <w:rPr>
          <w:rStyle w:val="14"/>
          <w:rFonts w:asciiTheme="minorHAnsi" w:hAnsiTheme="minorHAnsi" w:cstheme="minorHAnsi"/>
        </w:rPr>
        <w:t>visitucb@yeah.net</w:t>
      </w:r>
      <w:r>
        <w:rPr>
          <w:rStyle w:val="14"/>
          <w:rFonts w:asciiTheme="minorHAnsi" w:hAnsiTheme="minorHAnsi" w:cstheme="minorHAnsi"/>
        </w:rPr>
        <w:fldChar w:fldCharType="end"/>
      </w:r>
      <w:r>
        <w:rPr>
          <w:rStyle w:val="14"/>
          <w:rFonts w:asciiTheme="minorHAnsi" w:hAnsiTheme="minorHAnsi" w:cstheme="minorHAnsi"/>
        </w:rPr>
        <w:t xml:space="preserve"> </w:t>
      </w:r>
      <w:r>
        <w:rPr>
          <w:rFonts w:asciiTheme="minorHAnsi" w:hAnsiTheme="minorHAnsi" w:cstheme="minorHAnsi"/>
        </w:rPr>
        <w:t xml:space="preserve"> </w:t>
      </w:r>
    </w:p>
    <w:sectPr>
      <w:headerReference r:id="rId3" w:type="default"/>
      <w:pgSz w:w="11906" w:h="16838"/>
      <w:pgMar w:top="1440" w:right="1080" w:bottom="1440" w:left="108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1C33"/>
    <w:multiLevelType w:val="multilevel"/>
    <w:tmpl w:val="00E91C33"/>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8125196"/>
    <w:multiLevelType w:val="multilevel"/>
    <w:tmpl w:val="0812519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9E41378"/>
    <w:multiLevelType w:val="multilevel"/>
    <w:tmpl w:val="09E41378"/>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13931E04"/>
    <w:multiLevelType w:val="multilevel"/>
    <w:tmpl w:val="13931E0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35BC227D"/>
    <w:multiLevelType w:val="multilevel"/>
    <w:tmpl w:val="35BC227D"/>
    <w:lvl w:ilvl="0" w:tentative="0">
      <w:start w:val="4"/>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D50662A"/>
    <w:multiLevelType w:val="multilevel"/>
    <w:tmpl w:val="6D50662A"/>
    <w:lvl w:ilvl="0" w:tentative="0">
      <w:start w:val="1"/>
      <w:numFmt w:val="decimal"/>
      <w:lvlText w:val="%1)"/>
      <w:lvlJc w:val="left"/>
      <w:pPr>
        <w:ind w:left="630" w:hanging="420"/>
      </w:p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7">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4"/>
  </w:num>
  <w:num w:numId="4">
    <w:abstractNumId w:val="2"/>
  </w:num>
  <w:num w:numId="5">
    <w:abstractNumId w:val="7"/>
  </w:num>
  <w:num w:numId="6">
    <w:abstractNumId w:val="1"/>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8F"/>
    <w:rsid w:val="000035D7"/>
    <w:rsid w:val="00010F31"/>
    <w:rsid w:val="00014FA8"/>
    <w:rsid w:val="000169DD"/>
    <w:rsid w:val="00022AFD"/>
    <w:rsid w:val="000230BD"/>
    <w:rsid w:val="00023476"/>
    <w:rsid w:val="000236D2"/>
    <w:rsid w:val="00024A32"/>
    <w:rsid w:val="00024C64"/>
    <w:rsid w:val="00025022"/>
    <w:rsid w:val="00025206"/>
    <w:rsid w:val="0003068E"/>
    <w:rsid w:val="00030A02"/>
    <w:rsid w:val="00031403"/>
    <w:rsid w:val="000362BD"/>
    <w:rsid w:val="000402B0"/>
    <w:rsid w:val="00041148"/>
    <w:rsid w:val="00041BDA"/>
    <w:rsid w:val="00046229"/>
    <w:rsid w:val="00047E4D"/>
    <w:rsid w:val="000519A2"/>
    <w:rsid w:val="00051C6A"/>
    <w:rsid w:val="00052B6D"/>
    <w:rsid w:val="0005389A"/>
    <w:rsid w:val="0006181E"/>
    <w:rsid w:val="0006205C"/>
    <w:rsid w:val="00064CA4"/>
    <w:rsid w:val="00065242"/>
    <w:rsid w:val="000820F9"/>
    <w:rsid w:val="000845C3"/>
    <w:rsid w:val="0009206E"/>
    <w:rsid w:val="00092AD9"/>
    <w:rsid w:val="000954F4"/>
    <w:rsid w:val="000A0A86"/>
    <w:rsid w:val="000A2A22"/>
    <w:rsid w:val="000A4030"/>
    <w:rsid w:val="000A5251"/>
    <w:rsid w:val="000A6CE8"/>
    <w:rsid w:val="000B1A29"/>
    <w:rsid w:val="000C2A5A"/>
    <w:rsid w:val="000C2F7C"/>
    <w:rsid w:val="000C3F5B"/>
    <w:rsid w:val="000C4E56"/>
    <w:rsid w:val="000C5C18"/>
    <w:rsid w:val="000C7F9A"/>
    <w:rsid w:val="000E0D65"/>
    <w:rsid w:val="000E1209"/>
    <w:rsid w:val="000F168E"/>
    <w:rsid w:val="000F6E7C"/>
    <w:rsid w:val="001013E1"/>
    <w:rsid w:val="0010196F"/>
    <w:rsid w:val="001051AF"/>
    <w:rsid w:val="00106BA3"/>
    <w:rsid w:val="00107AEF"/>
    <w:rsid w:val="00110B1F"/>
    <w:rsid w:val="00110EDA"/>
    <w:rsid w:val="0011231F"/>
    <w:rsid w:val="00112EFC"/>
    <w:rsid w:val="001131EA"/>
    <w:rsid w:val="00116EF3"/>
    <w:rsid w:val="00120A5E"/>
    <w:rsid w:val="0012340B"/>
    <w:rsid w:val="0012488E"/>
    <w:rsid w:val="00124B0D"/>
    <w:rsid w:val="00125024"/>
    <w:rsid w:val="001250ED"/>
    <w:rsid w:val="001251FD"/>
    <w:rsid w:val="00127FE8"/>
    <w:rsid w:val="00131D30"/>
    <w:rsid w:val="00134011"/>
    <w:rsid w:val="00135DEF"/>
    <w:rsid w:val="00135F93"/>
    <w:rsid w:val="0013737E"/>
    <w:rsid w:val="00137744"/>
    <w:rsid w:val="00142B17"/>
    <w:rsid w:val="00143294"/>
    <w:rsid w:val="00146649"/>
    <w:rsid w:val="00146AB9"/>
    <w:rsid w:val="00160B9E"/>
    <w:rsid w:val="001668E7"/>
    <w:rsid w:val="00167799"/>
    <w:rsid w:val="00170451"/>
    <w:rsid w:val="001738F0"/>
    <w:rsid w:val="00176B88"/>
    <w:rsid w:val="00176F21"/>
    <w:rsid w:val="00182E04"/>
    <w:rsid w:val="001834A2"/>
    <w:rsid w:val="001839FD"/>
    <w:rsid w:val="001845C2"/>
    <w:rsid w:val="00186190"/>
    <w:rsid w:val="00192C0F"/>
    <w:rsid w:val="001A0C7A"/>
    <w:rsid w:val="001A281F"/>
    <w:rsid w:val="001A7D56"/>
    <w:rsid w:val="001B1730"/>
    <w:rsid w:val="001B354F"/>
    <w:rsid w:val="001C1A51"/>
    <w:rsid w:val="001C6985"/>
    <w:rsid w:val="001D4042"/>
    <w:rsid w:val="001D4EF4"/>
    <w:rsid w:val="001E31D7"/>
    <w:rsid w:val="001E5D98"/>
    <w:rsid w:val="001F5524"/>
    <w:rsid w:val="00202030"/>
    <w:rsid w:val="00203BFF"/>
    <w:rsid w:val="002133F2"/>
    <w:rsid w:val="002150CA"/>
    <w:rsid w:val="0021711E"/>
    <w:rsid w:val="00220E2D"/>
    <w:rsid w:val="002211FB"/>
    <w:rsid w:val="0022214B"/>
    <w:rsid w:val="00222E32"/>
    <w:rsid w:val="002274D9"/>
    <w:rsid w:val="0023241C"/>
    <w:rsid w:val="002441C6"/>
    <w:rsid w:val="002449A1"/>
    <w:rsid w:val="00251642"/>
    <w:rsid w:val="00255140"/>
    <w:rsid w:val="00261406"/>
    <w:rsid w:val="00261C11"/>
    <w:rsid w:val="00271BCB"/>
    <w:rsid w:val="00275270"/>
    <w:rsid w:val="0028056A"/>
    <w:rsid w:val="002852EE"/>
    <w:rsid w:val="0029179F"/>
    <w:rsid w:val="00292326"/>
    <w:rsid w:val="00295361"/>
    <w:rsid w:val="00296348"/>
    <w:rsid w:val="00297E1A"/>
    <w:rsid w:val="002A402F"/>
    <w:rsid w:val="002B269F"/>
    <w:rsid w:val="002B61DD"/>
    <w:rsid w:val="002B7076"/>
    <w:rsid w:val="002C2028"/>
    <w:rsid w:val="002C229B"/>
    <w:rsid w:val="002C27D4"/>
    <w:rsid w:val="002C6AEB"/>
    <w:rsid w:val="002C722D"/>
    <w:rsid w:val="002D04D0"/>
    <w:rsid w:val="002D76B2"/>
    <w:rsid w:val="002E1476"/>
    <w:rsid w:val="002E3299"/>
    <w:rsid w:val="002E4985"/>
    <w:rsid w:val="002E5D4D"/>
    <w:rsid w:val="002E64CC"/>
    <w:rsid w:val="002E67AF"/>
    <w:rsid w:val="002F1A53"/>
    <w:rsid w:val="002F3568"/>
    <w:rsid w:val="002F3A45"/>
    <w:rsid w:val="002F7AB9"/>
    <w:rsid w:val="0030157A"/>
    <w:rsid w:val="00302995"/>
    <w:rsid w:val="003039E1"/>
    <w:rsid w:val="00303D3D"/>
    <w:rsid w:val="0031712B"/>
    <w:rsid w:val="0032092A"/>
    <w:rsid w:val="00321717"/>
    <w:rsid w:val="00321D5F"/>
    <w:rsid w:val="00333C15"/>
    <w:rsid w:val="00342D9D"/>
    <w:rsid w:val="00342E7E"/>
    <w:rsid w:val="003507AC"/>
    <w:rsid w:val="003541E5"/>
    <w:rsid w:val="00360EC7"/>
    <w:rsid w:val="00360F09"/>
    <w:rsid w:val="00364A0C"/>
    <w:rsid w:val="003738EA"/>
    <w:rsid w:val="00375491"/>
    <w:rsid w:val="003822A8"/>
    <w:rsid w:val="00383DCC"/>
    <w:rsid w:val="00386A4E"/>
    <w:rsid w:val="00386C51"/>
    <w:rsid w:val="00387362"/>
    <w:rsid w:val="00390FCA"/>
    <w:rsid w:val="00394A95"/>
    <w:rsid w:val="00396306"/>
    <w:rsid w:val="00397742"/>
    <w:rsid w:val="003A6BB9"/>
    <w:rsid w:val="003B4151"/>
    <w:rsid w:val="003B669C"/>
    <w:rsid w:val="003B786E"/>
    <w:rsid w:val="003B78DD"/>
    <w:rsid w:val="003C6EF7"/>
    <w:rsid w:val="003D0F7B"/>
    <w:rsid w:val="003D0FE9"/>
    <w:rsid w:val="003D2BCE"/>
    <w:rsid w:val="003D4037"/>
    <w:rsid w:val="003D4529"/>
    <w:rsid w:val="003D4B46"/>
    <w:rsid w:val="003D5F48"/>
    <w:rsid w:val="003E01B3"/>
    <w:rsid w:val="003E3199"/>
    <w:rsid w:val="003F050A"/>
    <w:rsid w:val="003F059B"/>
    <w:rsid w:val="003F50D1"/>
    <w:rsid w:val="003F5F88"/>
    <w:rsid w:val="003F6107"/>
    <w:rsid w:val="00405EAC"/>
    <w:rsid w:val="00411E08"/>
    <w:rsid w:val="0041273F"/>
    <w:rsid w:val="004135C9"/>
    <w:rsid w:val="004221BF"/>
    <w:rsid w:val="00426325"/>
    <w:rsid w:val="00437A33"/>
    <w:rsid w:val="004469A3"/>
    <w:rsid w:val="0045270B"/>
    <w:rsid w:val="00454C45"/>
    <w:rsid w:val="004624BE"/>
    <w:rsid w:val="00465A92"/>
    <w:rsid w:val="0046618C"/>
    <w:rsid w:val="004679CE"/>
    <w:rsid w:val="00470270"/>
    <w:rsid w:val="00471CBF"/>
    <w:rsid w:val="00472D99"/>
    <w:rsid w:val="00485AD1"/>
    <w:rsid w:val="004869CF"/>
    <w:rsid w:val="004932B6"/>
    <w:rsid w:val="004946E0"/>
    <w:rsid w:val="004955A6"/>
    <w:rsid w:val="00495E6D"/>
    <w:rsid w:val="00496DD0"/>
    <w:rsid w:val="004A1602"/>
    <w:rsid w:val="004A4EDF"/>
    <w:rsid w:val="004A51A8"/>
    <w:rsid w:val="004B4D89"/>
    <w:rsid w:val="004B516E"/>
    <w:rsid w:val="004C0E26"/>
    <w:rsid w:val="004C343D"/>
    <w:rsid w:val="004C5277"/>
    <w:rsid w:val="004C6632"/>
    <w:rsid w:val="004D2090"/>
    <w:rsid w:val="004D3884"/>
    <w:rsid w:val="004D5BBA"/>
    <w:rsid w:val="004E0748"/>
    <w:rsid w:val="004E728E"/>
    <w:rsid w:val="004F0AAB"/>
    <w:rsid w:val="004F743F"/>
    <w:rsid w:val="004F7C1B"/>
    <w:rsid w:val="00500A8F"/>
    <w:rsid w:val="00503083"/>
    <w:rsid w:val="00504C25"/>
    <w:rsid w:val="005059BC"/>
    <w:rsid w:val="005060F9"/>
    <w:rsid w:val="0051106C"/>
    <w:rsid w:val="00512BAE"/>
    <w:rsid w:val="00520C0E"/>
    <w:rsid w:val="00522EAE"/>
    <w:rsid w:val="00523A6A"/>
    <w:rsid w:val="005250F2"/>
    <w:rsid w:val="00525703"/>
    <w:rsid w:val="00527573"/>
    <w:rsid w:val="005326B5"/>
    <w:rsid w:val="005339BB"/>
    <w:rsid w:val="00533D9B"/>
    <w:rsid w:val="00534317"/>
    <w:rsid w:val="00536F45"/>
    <w:rsid w:val="00537EE6"/>
    <w:rsid w:val="005401D5"/>
    <w:rsid w:val="00547E75"/>
    <w:rsid w:val="00553F46"/>
    <w:rsid w:val="00555016"/>
    <w:rsid w:val="00556212"/>
    <w:rsid w:val="005606AC"/>
    <w:rsid w:val="005670D9"/>
    <w:rsid w:val="0057138A"/>
    <w:rsid w:val="00572B6E"/>
    <w:rsid w:val="005762B0"/>
    <w:rsid w:val="00584716"/>
    <w:rsid w:val="005849E3"/>
    <w:rsid w:val="00584E4F"/>
    <w:rsid w:val="00584E6C"/>
    <w:rsid w:val="00584F1D"/>
    <w:rsid w:val="00586D6C"/>
    <w:rsid w:val="00587D18"/>
    <w:rsid w:val="00595315"/>
    <w:rsid w:val="00596D1A"/>
    <w:rsid w:val="005A24A6"/>
    <w:rsid w:val="005A31F5"/>
    <w:rsid w:val="005A65C8"/>
    <w:rsid w:val="005B69C2"/>
    <w:rsid w:val="005B7780"/>
    <w:rsid w:val="005C27A1"/>
    <w:rsid w:val="005C28B7"/>
    <w:rsid w:val="005C7CC0"/>
    <w:rsid w:val="005D0683"/>
    <w:rsid w:val="005D2678"/>
    <w:rsid w:val="005D53C9"/>
    <w:rsid w:val="005D6F09"/>
    <w:rsid w:val="005E4B22"/>
    <w:rsid w:val="005E5A41"/>
    <w:rsid w:val="005E674A"/>
    <w:rsid w:val="005E6E17"/>
    <w:rsid w:val="005F6112"/>
    <w:rsid w:val="005F6EBE"/>
    <w:rsid w:val="0060350C"/>
    <w:rsid w:val="00604B3D"/>
    <w:rsid w:val="00606AA2"/>
    <w:rsid w:val="00606C4F"/>
    <w:rsid w:val="00617A76"/>
    <w:rsid w:val="00621ED0"/>
    <w:rsid w:val="00622238"/>
    <w:rsid w:val="00624BB2"/>
    <w:rsid w:val="00625AB6"/>
    <w:rsid w:val="00632329"/>
    <w:rsid w:val="00637AD1"/>
    <w:rsid w:val="006452B3"/>
    <w:rsid w:val="00652D43"/>
    <w:rsid w:val="0065651F"/>
    <w:rsid w:val="0066295A"/>
    <w:rsid w:val="00663035"/>
    <w:rsid w:val="00664055"/>
    <w:rsid w:val="006662B4"/>
    <w:rsid w:val="00666CF9"/>
    <w:rsid w:val="00667457"/>
    <w:rsid w:val="00667A61"/>
    <w:rsid w:val="00670ED6"/>
    <w:rsid w:val="0067541F"/>
    <w:rsid w:val="0068291B"/>
    <w:rsid w:val="006858D5"/>
    <w:rsid w:val="00687DBB"/>
    <w:rsid w:val="00696B1C"/>
    <w:rsid w:val="0069735A"/>
    <w:rsid w:val="006A2B5F"/>
    <w:rsid w:val="006A32C4"/>
    <w:rsid w:val="006A526F"/>
    <w:rsid w:val="006A70D8"/>
    <w:rsid w:val="006A72B8"/>
    <w:rsid w:val="006B576E"/>
    <w:rsid w:val="006B7F44"/>
    <w:rsid w:val="006C1F05"/>
    <w:rsid w:val="006C2070"/>
    <w:rsid w:val="006C477F"/>
    <w:rsid w:val="006C7966"/>
    <w:rsid w:val="006D54DE"/>
    <w:rsid w:val="006D5B15"/>
    <w:rsid w:val="006D642C"/>
    <w:rsid w:val="006F2BC0"/>
    <w:rsid w:val="00700EA9"/>
    <w:rsid w:val="0070255A"/>
    <w:rsid w:val="00705BEF"/>
    <w:rsid w:val="00706179"/>
    <w:rsid w:val="007113DD"/>
    <w:rsid w:val="0071430B"/>
    <w:rsid w:val="00720659"/>
    <w:rsid w:val="0072201D"/>
    <w:rsid w:val="00733292"/>
    <w:rsid w:val="00736663"/>
    <w:rsid w:val="007423FD"/>
    <w:rsid w:val="00742540"/>
    <w:rsid w:val="00746CAA"/>
    <w:rsid w:val="00751375"/>
    <w:rsid w:val="00756821"/>
    <w:rsid w:val="007619AD"/>
    <w:rsid w:val="00762330"/>
    <w:rsid w:val="007640E0"/>
    <w:rsid w:val="007652B1"/>
    <w:rsid w:val="00770616"/>
    <w:rsid w:val="00772E22"/>
    <w:rsid w:val="00775505"/>
    <w:rsid w:val="00776AE1"/>
    <w:rsid w:val="00785C31"/>
    <w:rsid w:val="00791438"/>
    <w:rsid w:val="007A01B4"/>
    <w:rsid w:val="007A03BE"/>
    <w:rsid w:val="007A07E5"/>
    <w:rsid w:val="007A1FEE"/>
    <w:rsid w:val="007A385D"/>
    <w:rsid w:val="007A3E79"/>
    <w:rsid w:val="007A6CAD"/>
    <w:rsid w:val="007A7362"/>
    <w:rsid w:val="007B5A17"/>
    <w:rsid w:val="007B7729"/>
    <w:rsid w:val="007C66DE"/>
    <w:rsid w:val="007D0768"/>
    <w:rsid w:val="007D224F"/>
    <w:rsid w:val="007E0C8A"/>
    <w:rsid w:val="007E3816"/>
    <w:rsid w:val="007F22A1"/>
    <w:rsid w:val="007F5055"/>
    <w:rsid w:val="007F5700"/>
    <w:rsid w:val="00802548"/>
    <w:rsid w:val="00802957"/>
    <w:rsid w:val="00814AA6"/>
    <w:rsid w:val="00822ABD"/>
    <w:rsid w:val="00823EA5"/>
    <w:rsid w:val="00824F39"/>
    <w:rsid w:val="008267EE"/>
    <w:rsid w:val="0083050D"/>
    <w:rsid w:val="00832E9B"/>
    <w:rsid w:val="008432ED"/>
    <w:rsid w:val="00843F7D"/>
    <w:rsid w:val="00844AAF"/>
    <w:rsid w:val="008450F3"/>
    <w:rsid w:val="00854768"/>
    <w:rsid w:val="0086227D"/>
    <w:rsid w:val="00863FEE"/>
    <w:rsid w:val="008653E0"/>
    <w:rsid w:val="0088500C"/>
    <w:rsid w:val="0089014A"/>
    <w:rsid w:val="008902CF"/>
    <w:rsid w:val="008966E9"/>
    <w:rsid w:val="008A3B51"/>
    <w:rsid w:val="008B4A3B"/>
    <w:rsid w:val="008B56E5"/>
    <w:rsid w:val="008C1F77"/>
    <w:rsid w:val="008C5B19"/>
    <w:rsid w:val="008D3CFE"/>
    <w:rsid w:val="008D5E6C"/>
    <w:rsid w:val="008D618C"/>
    <w:rsid w:val="008D6CA9"/>
    <w:rsid w:val="008D7F16"/>
    <w:rsid w:val="008E4534"/>
    <w:rsid w:val="008E54DB"/>
    <w:rsid w:val="008F1045"/>
    <w:rsid w:val="00901133"/>
    <w:rsid w:val="009018E4"/>
    <w:rsid w:val="00903BED"/>
    <w:rsid w:val="00905613"/>
    <w:rsid w:val="00905BF1"/>
    <w:rsid w:val="00906C38"/>
    <w:rsid w:val="00913572"/>
    <w:rsid w:val="009171E7"/>
    <w:rsid w:val="00917A3B"/>
    <w:rsid w:val="0092087F"/>
    <w:rsid w:val="0092377F"/>
    <w:rsid w:val="0092404D"/>
    <w:rsid w:val="009274E2"/>
    <w:rsid w:val="00930DF7"/>
    <w:rsid w:val="00936821"/>
    <w:rsid w:val="0094276A"/>
    <w:rsid w:val="00942C75"/>
    <w:rsid w:val="00951195"/>
    <w:rsid w:val="00952045"/>
    <w:rsid w:val="00952BA5"/>
    <w:rsid w:val="009554FB"/>
    <w:rsid w:val="00957EEC"/>
    <w:rsid w:val="00963696"/>
    <w:rsid w:val="009642E6"/>
    <w:rsid w:val="009645E2"/>
    <w:rsid w:val="00965CCC"/>
    <w:rsid w:val="00972044"/>
    <w:rsid w:val="00972BCD"/>
    <w:rsid w:val="0097304E"/>
    <w:rsid w:val="0097647D"/>
    <w:rsid w:val="00983752"/>
    <w:rsid w:val="00983EF6"/>
    <w:rsid w:val="00987E7A"/>
    <w:rsid w:val="00993135"/>
    <w:rsid w:val="009959F3"/>
    <w:rsid w:val="009A11C1"/>
    <w:rsid w:val="009A27F7"/>
    <w:rsid w:val="009A292D"/>
    <w:rsid w:val="009A34B6"/>
    <w:rsid w:val="009A4CAF"/>
    <w:rsid w:val="009A69B5"/>
    <w:rsid w:val="009B0D73"/>
    <w:rsid w:val="009B3167"/>
    <w:rsid w:val="009C020C"/>
    <w:rsid w:val="009C2B2E"/>
    <w:rsid w:val="009C5D67"/>
    <w:rsid w:val="009C698C"/>
    <w:rsid w:val="009C7A2D"/>
    <w:rsid w:val="009C7CE4"/>
    <w:rsid w:val="009E4A3B"/>
    <w:rsid w:val="009F0653"/>
    <w:rsid w:val="009F1D8D"/>
    <w:rsid w:val="009F7FCB"/>
    <w:rsid w:val="00A00B17"/>
    <w:rsid w:val="00A03E16"/>
    <w:rsid w:val="00A042A1"/>
    <w:rsid w:val="00A052F0"/>
    <w:rsid w:val="00A06D8A"/>
    <w:rsid w:val="00A10060"/>
    <w:rsid w:val="00A1042E"/>
    <w:rsid w:val="00A1301E"/>
    <w:rsid w:val="00A1794D"/>
    <w:rsid w:val="00A207E1"/>
    <w:rsid w:val="00A220C6"/>
    <w:rsid w:val="00A2358C"/>
    <w:rsid w:val="00A2663A"/>
    <w:rsid w:val="00A31C85"/>
    <w:rsid w:val="00A32C2E"/>
    <w:rsid w:val="00A33799"/>
    <w:rsid w:val="00A33A9E"/>
    <w:rsid w:val="00A42B01"/>
    <w:rsid w:val="00A45513"/>
    <w:rsid w:val="00A459A1"/>
    <w:rsid w:val="00A623DF"/>
    <w:rsid w:val="00A67B5E"/>
    <w:rsid w:val="00A72E16"/>
    <w:rsid w:val="00A76003"/>
    <w:rsid w:val="00A76D78"/>
    <w:rsid w:val="00A83039"/>
    <w:rsid w:val="00A83140"/>
    <w:rsid w:val="00A831F9"/>
    <w:rsid w:val="00A843DA"/>
    <w:rsid w:val="00A84830"/>
    <w:rsid w:val="00A95C70"/>
    <w:rsid w:val="00AA2334"/>
    <w:rsid w:val="00AA4DC4"/>
    <w:rsid w:val="00AB05C6"/>
    <w:rsid w:val="00AB14B1"/>
    <w:rsid w:val="00AB66D7"/>
    <w:rsid w:val="00AC32C6"/>
    <w:rsid w:val="00AD4522"/>
    <w:rsid w:val="00AD7BA1"/>
    <w:rsid w:val="00AE3BCF"/>
    <w:rsid w:val="00AF5247"/>
    <w:rsid w:val="00AF78C6"/>
    <w:rsid w:val="00AF7CB4"/>
    <w:rsid w:val="00B00961"/>
    <w:rsid w:val="00B12237"/>
    <w:rsid w:val="00B12F3C"/>
    <w:rsid w:val="00B24FF7"/>
    <w:rsid w:val="00B2543C"/>
    <w:rsid w:val="00B26192"/>
    <w:rsid w:val="00B262CD"/>
    <w:rsid w:val="00B36F8F"/>
    <w:rsid w:val="00B40A66"/>
    <w:rsid w:val="00B50CF4"/>
    <w:rsid w:val="00B56E05"/>
    <w:rsid w:val="00B57B39"/>
    <w:rsid w:val="00B6632A"/>
    <w:rsid w:val="00B67C18"/>
    <w:rsid w:val="00B74F9C"/>
    <w:rsid w:val="00B801E0"/>
    <w:rsid w:val="00B80711"/>
    <w:rsid w:val="00B83422"/>
    <w:rsid w:val="00B841C1"/>
    <w:rsid w:val="00B8765A"/>
    <w:rsid w:val="00B91193"/>
    <w:rsid w:val="00B92A27"/>
    <w:rsid w:val="00B948DD"/>
    <w:rsid w:val="00B955B3"/>
    <w:rsid w:val="00BA15F6"/>
    <w:rsid w:val="00BB0CAA"/>
    <w:rsid w:val="00BB11A8"/>
    <w:rsid w:val="00BB2026"/>
    <w:rsid w:val="00BB4CC4"/>
    <w:rsid w:val="00BB5880"/>
    <w:rsid w:val="00BB5FC7"/>
    <w:rsid w:val="00BC3B43"/>
    <w:rsid w:val="00BC44C7"/>
    <w:rsid w:val="00BC5535"/>
    <w:rsid w:val="00BE02A7"/>
    <w:rsid w:val="00BE2788"/>
    <w:rsid w:val="00BE6F4C"/>
    <w:rsid w:val="00BE7E70"/>
    <w:rsid w:val="00BF460C"/>
    <w:rsid w:val="00BF5F9C"/>
    <w:rsid w:val="00C02F99"/>
    <w:rsid w:val="00C05D8E"/>
    <w:rsid w:val="00C06B20"/>
    <w:rsid w:val="00C06CBE"/>
    <w:rsid w:val="00C123C3"/>
    <w:rsid w:val="00C126DF"/>
    <w:rsid w:val="00C153A3"/>
    <w:rsid w:val="00C15DBB"/>
    <w:rsid w:val="00C2314E"/>
    <w:rsid w:val="00C444EA"/>
    <w:rsid w:val="00C50DF8"/>
    <w:rsid w:val="00C5114A"/>
    <w:rsid w:val="00C55BB5"/>
    <w:rsid w:val="00C55F6E"/>
    <w:rsid w:val="00C609FE"/>
    <w:rsid w:val="00C64953"/>
    <w:rsid w:val="00C71F77"/>
    <w:rsid w:val="00C745E3"/>
    <w:rsid w:val="00C75C2E"/>
    <w:rsid w:val="00C766EF"/>
    <w:rsid w:val="00C76785"/>
    <w:rsid w:val="00C773FC"/>
    <w:rsid w:val="00C807AA"/>
    <w:rsid w:val="00C80EE6"/>
    <w:rsid w:val="00C817A7"/>
    <w:rsid w:val="00C83017"/>
    <w:rsid w:val="00C861B2"/>
    <w:rsid w:val="00C94275"/>
    <w:rsid w:val="00CA2A8B"/>
    <w:rsid w:val="00CA2ADF"/>
    <w:rsid w:val="00CA65E9"/>
    <w:rsid w:val="00CB4339"/>
    <w:rsid w:val="00CB6A55"/>
    <w:rsid w:val="00CC06D4"/>
    <w:rsid w:val="00CC11F6"/>
    <w:rsid w:val="00CC1890"/>
    <w:rsid w:val="00CC480B"/>
    <w:rsid w:val="00CC72C5"/>
    <w:rsid w:val="00CC7310"/>
    <w:rsid w:val="00CD332E"/>
    <w:rsid w:val="00CD41C2"/>
    <w:rsid w:val="00CD603D"/>
    <w:rsid w:val="00CE06FC"/>
    <w:rsid w:val="00CE4335"/>
    <w:rsid w:val="00CE4E59"/>
    <w:rsid w:val="00CF0F2B"/>
    <w:rsid w:val="00D01D29"/>
    <w:rsid w:val="00D03331"/>
    <w:rsid w:val="00D0647B"/>
    <w:rsid w:val="00D073EA"/>
    <w:rsid w:val="00D12776"/>
    <w:rsid w:val="00D14962"/>
    <w:rsid w:val="00D2092D"/>
    <w:rsid w:val="00D23CA9"/>
    <w:rsid w:val="00D31AFE"/>
    <w:rsid w:val="00D332D6"/>
    <w:rsid w:val="00D3365A"/>
    <w:rsid w:val="00D346FC"/>
    <w:rsid w:val="00D35444"/>
    <w:rsid w:val="00D3691D"/>
    <w:rsid w:val="00D371C4"/>
    <w:rsid w:val="00D450EC"/>
    <w:rsid w:val="00D455A2"/>
    <w:rsid w:val="00D471D1"/>
    <w:rsid w:val="00D50E81"/>
    <w:rsid w:val="00D634D8"/>
    <w:rsid w:val="00D63C2D"/>
    <w:rsid w:val="00D651FF"/>
    <w:rsid w:val="00D71557"/>
    <w:rsid w:val="00D71DEB"/>
    <w:rsid w:val="00D73882"/>
    <w:rsid w:val="00D7388F"/>
    <w:rsid w:val="00D80609"/>
    <w:rsid w:val="00D82BB6"/>
    <w:rsid w:val="00DA100A"/>
    <w:rsid w:val="00DA25AD"/>
    <w:rsid w:val="00DA7332"/>
    <w:rsid w:val="00DA73E5"/>
    <w:rsid w:val="00DB0090"/>
    <w:rsid w:val="00DB1679"/>
    <w:rsid w:val="00DC2F1C"/>
    <w:rsid w:val="00DC2F84"/>
    <w:rsid w:val="00DC4BA2"/>
    <w:rsid w:val="00DD4C8D"/>
    <w:rsid w:val="00DD63C9"/>
    <w:rsid w:val="00DD7FB4"/>
    <w:rsid w:val="00DF1C7E"/>
    <w:rsid w:val="00DF4AB0"/>
    <w:rsid w:val="00DF66EE"/>
    <w:rsid w:val="00DF77D7"/>
    <w:rsid w:val="00E00371"/>
    <w:rsid w:val="00E07A31"/>
    <w:rsid w:val="00E127D0"/>
    <w:rsid w:val="00E13E71"/>
    <w:rsid w:val="00E17346"/>
    <w:rsid w:val="00E20907"/>
    <w:rsid w:val="00E23047"/>
    <w:rsid w:val="00E23270"/>
    <w:rsid w:val="00E266A1"/>
    <w:rsid w:val="00E27A3F"/>
    <w:rsid w:val="00E309FD"/>
    <w:rsid w:val="00E403D4"/>
    <w:rsid w:val="00E40B95"/>
    <w:rsid w:val="00E50150"/>
    <w:rsid w:val="00E5049F"/>
    <w:rsid w:val="00E51089"/>
    <w:rsid w:val="00E5400A"/>
    <w:rsid w:val="00E61308"/>
    <w:rsid w:val="00E61E70"/>
    <w:rsid w:val="00E64653"/>
    <w:rsid w:val="00E67E38"/>
    <w:rsid w:val="00E76995"/>
    <w:rsid w:val="00E80E43"/>
    <w:rsid w:val="00E825E5"/>
    <w:rsid w:val="00E8311C"/>
    <w:rsid w:val="00E87A04"/>
    <w:rsid w:val="00E922B4"/>
    <w:rsid w:val="00E94534"/>
    <w:rsid w:val="00E97970"/>
    <w:rsid w:val="00EA4003"/>
    <w:rsid w:val="00EB0151"/>
    <w:rsid w:val="00EB3065"/>
    <w:rsid w:val="00EB7ED2"/>
    <w:rsid w:val="00EC43C8"/>
    <w:rsid w:val="00EC7A91"/>
    <w:rsid w:val="00ED1806"/>
    <w:rsid w:val="00ED369B"/>
    <w:rsid w:val="00ED3F02"/>
    <w:rsid w:val="00ED457C"/>
    <w:rsid w:val="00EE0B92"/>
    <w:rsid w:val="00EE0F0E"/>
    <w:rsid w:val="00EE6702"/>
    <w:rsid w:val="00EE68D2"/>
    <w:rsid w:val="00EF14B7"/>
    <w:rsid w:val="00EF44AD"/>
    <w:rsid w:val="00F014F8"/>
    <w:rsid w:val="00F13937"/>
    <w:rsid w:val="00F17267"/>
    <w:rsid w:val="00F27587"/>
    <w:rsid w:val="00F307F9"/>
    <w:rsid w:val="00F3131F"/>
    <w:rsid w:val="00F32538"/>
    <w:rsid w:val="00F34A00"/>
    <w:rsid w:val="00F34D93"/>
    <w:rsid w:val="00F62AEB"/>
    <w:rsid w:val="00F66A6D"/>
    <w:rsid w:val="00F70183"/>
    <w:rsid w:val="00F72010"/>
    <w:rsid w:val="00F76428"/>
    <w:rsid w:val="00F77798"/>
    <w:rsid w:val="00F77B4D"/>
    <w:rsid w:val="00F820F7"/>
    <w:rsid w:val="00F83A44"/>
    <w:rsid w:val="00F84F22"/>
    <w:rsid w:val="00F85C22"/>
    <w:rsid w:val="00F86B12"/>
    <w:rsid w:val="00F87AC6"/>
    <w:rsid w:val="00F87E6E"/>
    <w:rsid w:val="00F9745D"/>
    <w:rsid w:val="00F979AC"/>
    <w:rsid w:val="00FA59B3"/>
    <w:rsid w:val="00FA6353"/>
    <w:rsid w:val="00FB32DE"/>
    <w:rsid w:val="00FB7A50"/>
    <w:rsid w:val="00FC0DF5"/>
    <w:rsid w:val="00FC44B5"/>
    <w:rsid w:val="00FC6127"/>
    <w:rsid w:val="00FC7A4D"/>
    <w:rsid w:val="00FD08A0"/>
    <w:rsid w:val="00FD2E42"/>
    <w:rsid w:val="00FD4AA6"/>
    <w:rsid w:val="00FE0183"/>
    <w:rsid w:val="00FE2B9E"/>
    <w:rsid w:val="00FE6555"/>
    <w:rsid w:val="00FE6C9A"/>
    <w:rsid w:val="00FF4D7B"/>
    <w:rsid w:val="00FF51E1"/>
    <w:rsid w:val="0D237C84"/>
    <w:rsid w:val="2EF2711C"/>
    <w:rsid w:val="70994829"/>
    <w:rsid w:val="717B7BCB"/>
    <w:rsid w:val="7AC280F1"/>
    <w:rsid w:val="7FFFB180"/>
    <w:rsid w:val="DDCF42CE"/>
    <w:rsid w:val="FBB8B4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4">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b/>
      <w:bCs/>
    </w:rPr>
  </w:style>
  <w:style w:type="character" w:styleId="13">
    <w:name w:val="Emphasis"/>
    <w:basedOn w:val="11"/>
    <w:qFormat/>
    <w:uiPriority w:val="20"/>
    <w:rPr>
      <w:i/>
      <w:iCs/>
    </w:rPr>
  </w:style>
  <w:style w:type="character" w:styleId="14">
    <w:name w:val="Hyperlink"/>
    <w:uiPriority w:val="0"/>
    <w:rPr>
      <w:color w:val="0068B7"/>
      <w:u w:val="none"/>
    </w:rPr>
  </w:style>
  <w:style w:type="character" w:customStyle="1" w:styleId="15">
    <w:name w:val="141"/>
    <w:uiPriority w:val="0"/>
    <w:rPr>
      <w:sz w:val="21"/>
      <w:szCs w:val="21"/>
    </w:rPr>
  </w:style>
  <w:style w:type="character" w:customStyle="1" w:styleId="16">
    <w:name w:val="ztag pre"/>
    <w:basedOn w:val="11"/>
    <w:qFormat/>
    <w:uiPriority w:val="0"/>
  </w:style>
  <w:style w:type="character" w:customStyle="1" w:styleId="17">
    <w:name w:val="已访问的超链接1"/>
    <w:qFormat/>
    <w:uiPriority w:val="0"/>
    <w:rPr>
      <w:color w:val="800080"/>
      <w:u w:val="single"/>
    </w:rPr>
  </w:style>
  <w:style w:type="paragraph" w:customStyle="1" w:styleId="18">
    <w:name w:val="列表段落1"/>
    <w:basedOn w:val="1"/>
    <w:qFormat/>
    <w:uiPriority w:val="34"/>
    <w:pPr>
      <w:ind w:firstLine="420" w:firstLineChars="200"/>
    </w:pPr>
  </w:style>
  <w:style w:type="paragraph" w:customStyle="1" w:styleId="19">
    <w:name w:val="列表段落2"/>
    <w:basedOn w:val="1"/>
    <w:qFormat/>
    <w:uiPriority w:val="34"/>
    <w:pPr>
      <w:ind w:firstLine="420" w:firstLineChars="200"/>
    </w:pPr>
  </w:style>
  <w:style w:type="character" w:customStyle="1" w:styleId="20">
    <w:name w:val="未处理的提及1"/>
    <w:basedOn w:val="11"/>
    <w:unhideWhenUsed/>
    <w:qFormat/>
    <w:uiPriority w:val="99"/>
    <w:rPr>
      <w:color w:val="605E5C"/>
      <w:shd w:val="clear" w:color="auto" w:fill="E1DFDD"/>
    </w:rPr>
  </w:style>
  <w:style w:type="paragraph" w:styleId="21">
    <w:name w:val="List Paragraph"/>
    <w:basedOn w:val="1"/>
    <w:qFormat/>
    <w:uiPriority w:val="34"/>
    <w:pPr>
      <w:ind w:firstLine="420" w:firstLineChars="200"/>
    </w:pPr>
  </w:style>
  <w:style w:type="character" w:customStyle="1" w:styleId="22">
    <w:name w:val="apple-converted-space"/>
    <w:basedOn w:val="11"/>
    <w:qFormat/>
    <w:uiPriority w:val="0"/>
  </w:style>
  <w:style w:type="paragraph" w:customStyle="1" w:styleId="23">
    <w:name w:val="lead"/>
    <w:basedOn w:val="1"/>
    <w:qFormat/>
    <w:uiPriority w:val="0"/>
    <w:pPr>
      <w:widowControl/>
      <w:spacing w:before="100" w:beforeAutospacing="1" w:after="100" w:afterAutospacing="1"/>
      <w:jc w:val="left"/>
    </w:pPr>
    <w:rPr>
      <w:rFonts w:ascii="宋体" w:hAnsi="宋体" w:cs="宋体"/>
      <w:kern w:val="0"/>
      <w:sz w:val="24"/>
    </w:rPr>
  </w:style>
  <w:style w:type="paragraph" w:customStyle="1" w:styleId="24">
    <w:name w:val="inline-content"/>
    <w:basedOn w:val="1"/>
    <w:qFormat/>
    <w:uiPriority w:val="0"/>
    <w:pPr>
      <w:widowControl/>
      <w:spacing w:before="100" w:beforeAutospacing="1" w:after="100" w:afterAutospacing="1"/>
      <w:jc w:val="left"/>
    </w:pPr>
    <w:rPr>
      <w:rFonts w:ascii="宋体" w:hAnsi="宋体" w:cs="宋体"/>
      <w:kern w:val="0"/>
      <w:sz w:val="24"/>
    </w:rPr>
  </w:style>
  <w:style w:type="paragraph" w:customStyle="1" w:styleId="25">
    <w:name w:val="ssc-message--content"/>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552</Words>
  <Characters>3150</Characters>
  <Lines>26</Lines>
  <Paragraphs>7</Paragraphs>
  <TotalTime>0</TotalTime>
  <ScaleCrop>false</ScaleCrop>
  <LinksUpToDate>false</LinksUpToDate>
  <CharactersWithSpaces>3695</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2019-12-11T04:22:00Z</dcterms:created>
  <dc:creator>全美国际教育协会</dc:creator>
  <cp:lastModifiedBy>Julia</cp:lastModifiedBy>
  <cp:lastPrinted>2011-12-18T00:54:00Z</cp:lastPrinted>
  <dcterms:modified xsi:type="dcterms:W3CDTF">2019-12-27T03:11:16Z</dcterms:modified>
  <dc:title>加州大学河滨分校短期访学项目</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