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w:t>
      </w:r>
      <w:r>
        <w:rPr>
          <w:rFonts w:asciiTheme="minorHAnsi" w:hAnsiTheme="minorHAnsi" w:eastAsiaTheme="majorEastAsia" w:cstheme="minorHAnsi"/>
          <w:b/>
          <w:kern w:val="0"/>
          <w:sz w:val="32"/>
          <w:szCs w:val="21"/>
        </w:rPr>
        <w:t>大学</w:t>
      </w:r>
      <w:r>
        <w:rPr>
          <w:rFonts w:hint="eastAsia" w:asciiTheme="minorHAnsi" w:hAnsiTheme="minorHAnsi" w:eastAsiaTheme="majorEastAsia" w:cstheme="minorHAnsi"/>
          <w:b/>
          <w:kern w:val="0"/>
          <w:sz w:val="32"/>
          <w:szCs w:val="21"/>
        </w:rPr>
        <w:t>伯克利分校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2020秋季</w:t>
      </w:r>
      <w:r>
        <w:rPr>
          <w:rFonts w:asciiTheme="minorHAnsi" w:hAnsiTheme="minorHAnsi" w:eastAsiaTheme="majorEastAsia" w:cstheme="minorHAnsi"/>
          <w:b/>
          <w:kern w:val="0"/>
          <w:sz w:val="32"/>
          <w:szCs w:val="21"/>
        </w:rPr>
        <w:t>访学</w:t>
      </w:r>
      <w:r>
        <w:rPr>
          <w:rFonts w:hint="eastAsia" w:asciiTheme="minorHAnsi" w:hAnsiTheme="minorHAnsi" w:eastAsiaTheme="majorEastAsia" w:cstheme="minorHAnsi"/>
          <w:b/>
          <w:kern w:val="0"/>
          <w:sz w:val="32"/>
          <w:szCs w:val="21"/>
        </w:rPr>
        <w:t>项目</w:t>
      </w: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b/>
          <w:kern w:val="0"/>
          <w:sz w:val="32"/>
          <w:szCs w:val="21"/>
        </w:rPr>
        <w:t>U</w:t>
      </w:r>
      <w:r>
        <w:rPr>
          <w:rFonts w:asciiTheme="minorHAnsi" w:hAnsiTheme="minorHAnsi" w:eastAsiaTheme="majorEastAsia" w:cstheme="minorHAnsi"/>
          <w:b/>
          <w:kern w:val="0"/>
          <w:sz w:val="32"/>
          <w:szCs w:val="21"/>
        </w:rPr>
        <w:t>niversity of California Berkeley</w:t>
      </w:r>
    </w:p>
    <w:p>
      <w:pPr>
        <w:widowControl/>
        <w:spacing w:line="360" w:lineRule="auto"/>
        <w:jc w:val="center"/>
        <w:rPr>
          <w:rFonts w:asciiTheme="minorHAnsi" w:hAnsiTheme="minorHAnsi" w:cstheme="minorHAnsi"/>
          <w:b/>
        </w:rPr>
      </w:pPr>
      <w:r>
        <w:rPr>
          <w:rFonts w:asciiTheme="minorHAnsi" w:hAnsiTheme="minorHAnsi" w:cstheme="minorHAnsi"/>
          <w:b/>
        </w:rPr>
        <w:t>2020</w:t>
      </w:r>
      <w:r>
        <w:rPr>
          <w:rFonts w:hint="eastAsia" w:asciiTheme="minorHAnsi" w:hAnsiTheme="minorHAnsi" w:cstheme="minorHAnsi"/>
          <w:b/>
        </w:rPr>
        <w:t>年8月</w:t>
      </w:r>
      <w:r>
        <w:rPr>
          <w:rFonts w:asciiTheme="minorHAnsi" w:hAnsiTheme="minorHAnsi" w:cstheme="minorHAnsi"/>
          <w:b/>
        </w:rPr>
        <w:t>1</w:t>
      </w:r>
      <w:r>
        <w:rPr>
          <w:rFonts w:hint="eastAsia" w:asciiTheme="minorHAnsi" w:hAnsiTheme="minorHAnsi" w:cstheme="minorHAnsi"/>
          <w:b/>
        </w:rPr>
        <w:t>9日</w:t>
      </w:r>
      <w:r>
        <w:rPr>
          <w:rFonts w:asciiTheme="minorHAnsi" w:hAnsiTheme="minorHAnsi" w:cstheme="minorHAnsi"/>
          <w:b/>
        </w:rPr>
        <w:t xml:space="preserve">- </w:t>
      </w:r>
      <w:r>
        <w:rPr>
          <w:rFonts w:hint="eastAsia" w:asciiTheme="minorHAnsi" w:hAnsiTheme="minorHAnsi" w:cstheme="minorHAnsi"/>
          <w:b/>
        </w:rPr>
        <w:t>12月</w:t>
      </w:r>
      <w:r>
        <w:rPr>
          <w:rFonts w:asciiTheme="minorHAnsi" w:hAnsiTheme="minorHAnsi" w:cstheme="minorHAnsi"/>
          <w:b/>
        </w:rPr>
        <w:t>1</w:t>
      </w:r>
      <w:r>
        <w:rPr>
          <w:rFonts w:hint="eastAsia" w:asciiTheme="minorHAnsi" w:hAnsiTheme="minorHAnsi" w:cstheme="minorHAnsi"/>
          <w:b/>
        </w:rPr>
        <w:t>8日</w:t>
      </w: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pStyle w:val="17"/>
        <w:widowControl/>
        <w:numPr>
          <w:ilvl w:val="0"/>
          <w:numId w:val="1"/>
        </w:numPr>
        <w:spacing w:line="360" w:lineRule="auto"/>
        <w:ind w:firstLineChars="0"/>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 项目综述</w:t>
      </w:r>
    </w:p>
    <w:p>
      <w:pPr>
        <w:widowControl/>
        <w:spacing w:line="360" w:lineRule="auto"/>
        <w:ind w:firstLine="430"/>
        <w:jc w:val="left"/>
        <w:rPr>
          <w:rFonts w:asciiTheme="minorHAnsi" w:hAnsiTheme="minorHAnsi"/>
          <w:bCs/>
        </w:rPr>
      </w:pPr>
      <w:r>
        <w:rPr>
          <w:rFonts w:hint="eastAsia" w:asciiTheme="minorHAnsi" w:hAnsiTheme="minorHAnsi"/>
        </w:rPr>
        <w:t>加州大学伯克利分校秋季访学项目由加州大学伯克利分校继续教育学院（Extension）开设,</w:t>
      </w:r>
      <w:r>
        <w:rPr>
          <w:rFonts w:asciiTheme="minorHAnsi" w:hAnsiTheme="minorHAnsi"/>
        </w:rPr>
        <w:t xml:space="preserve"> </w:t>
      </w:r>
      <w:r>
        <w:rPr>
          <w:rFonts w:hint="eastAsia" w:asciiTheme="minorHAnsi" w:hAnsiTheme="minorHAnsi"/>
        </w:rPr>
        <w:t>提供包括</w:t>
      </w:r>
      <w:r>
        <w:rPr>
          <w:rFonts w:hint="eastAsia" w:asciiTheme="minorHAnsi" w:hAnsiTheme="minorHAnsi" w:eastAsiaTheme="majorEastAsia" w:cstheme="minorHAnsi"/>
          <w:bCs/>
          <w:szCs w:val="21"/>
        </w:rPr>
        <w:t>学期学分课程（BGA Discover Program）、哈斯商学院学期学分课程</w:t>
      </w:r>
      <w:r>
        <w:rPr>
          <w:rFonts w:hint="eastAsia" w:cs="Calibri" w:asciiTheme="minorHAnsi" w:hAnsiTheme="minorHAnsi"/>
          <w:bCs/>
          <w:szCs w:val="21"/>
        </w:rPr>
        <w:t>、法学院学期学分课程等不同选择</w:t>
      </w:r>
      <w:r>
        <w:rPr>
          <w:rFonts w:hint="eastAsia" w:asciiTheme="minorHAnsi" w:hAnsiTheme="minorHAnsi"/>
          <w:bCs/>
        </w:rPr>
        <w:t>。项目学生可根据自身的专业需求，选报相应的专业学分课程。</w:t>
      </w:r>
    </w:p>
    <w:p>
      <w:pPr>
        <w:widowControl/>
        <w:spacing w:line="360" w:lineRule="auto"/>
        <w:ind w:firstLine="430"/>
        <w:jc w:val="left"/>
        <w:rPr>
          <w:rFonts w:asciiTheme="minorHAnsi" w:hAnsiTheme="minorHAnsi"/>
        </w:rPr>
      </w:pPr>
    </w:p>
    <w:p>
      <w:pPr>
        <w:pStyle w:val="17"/>
        <w:widowControl/>
        <w:spacing w:line="360" w:lineRule="auto"/>
        <w:ind w:left="420" w:firstLine="0"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全美国际教育协会作为加州大学伯克利分校继续教育学院在中国的正式授权机构，负</w:t>
      </w:r>
    </w:p>
    <w:p>
      <w:pPr>
        <w:widowControl/>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责选拔优秀中国大学生，于20</w:t>
      </w:r>
      <w:r>
        <w:rPr>
          <w:rFonts w:asciiTheme="minorHAnsi" w:hAnsiTheme="minorHAnsi" w:eastAsiaTheme="majorEastAsia" w:cstheme="minorHAnsi"/>
          <w:kern w:val="0"/>
          <w:szCs w:val="21"/>
        </w:rPr>
        <w:t>20</w:t>
      </w:r>
      <w:r>
        <w:rPr>
          <w:rFonts w:hint="eastAsia" w:asciiTheme="minorHAnsi" w:hAnsiTheme="minorHAnsi" w:eastAsiaTheme="majorEastAsia" w:cstheme="minorHAnsi"/>
          <w:kern w:val="0"/>
          <w:szCs w:val="21"/>
        </w:rPr>
        <w:t>年秋季前往加州大学伯克利分校参加访学项目。项目学生将与全世界其它国家的国际学生混班上课，迅速提升自身的英语水平与专业学术技能，同时体验美国的社会与文化。</w:t>
      </w:r>
    </w:p>
    <w:p>
      <w:pPr>
        <w:widowControl/>
        <w:spacing w:line="360" w:lineRule="auto"/>
        <w:jc w:val="left"/>
        <w:rPr>
          <w:rFonts w:asciiTheme="minorHAnsi" w:hAnsiTheme="minorHAnsi" w:eastAsiaTheme="majorEastAsia" w:cstheme="minorHAnsi"/>
          <w:kern w:val="0"/>
          <w:szCs w:val="21"/>
        </w:rPr>
      </w:pPr>
      <w:r>
        <w:rPr>
          <w:rFonts w:asciiTheme="minorHAnsi" w:hAnsiTheme="minorHAnsi" w:eastAsiaTheme="majorEastAsia" w:cstheme="minorHAnsi"/>
          <w:color w:val="000000"/>
          <w:szCs w:val="21"/>
        </w:rPr>
        <w:drawing>
          <wp:anchor distT="0" distB="0" distL="114300" distR="114300" simplePos="0" relativeHeight="251665408" behindDoc="0" locked="0" layoutInCell="1" allowOverlap="1">
            <wp:simplePos x="0" y="0"/>
            <wp:positionH relativeFrom="column">
              <wp:posOffset>19050</wp:posOffset>
            </wp:positionH>
            <wp:positionV relativeFrom="paragraph">
              <wp:posOffset>297815</wp:posOffset>
            </wp:positionV>
            <wp:extent cx="5274310" cy="1962150"/>
            <wp:effectExtent l="19050" t="0" r="254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1962150"/>
                    </a:xfrm>
                    <a:prstGeom prst="rect">
                      <a:avLst/>
                    </a:prstGeom>
                  </pic:spPr>
                </pic:pic>
              </a:graphicData>
            </a:graphic>
          </wp:anchor>
        </w:drawing>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kern w:val="0"/>
          <w:szCs w:val="21"/>
        </w:rPr>
        <w:t xml:space="preserve">二、 </w:t>
      </w:r>
      <w:r>
        <w:rPr>
          <w:rFonts w:hint="eastAsia" w:asciiTheme="minorHAnsi" w:hAnsiTheme="minorHAnsi" w:eastAsiaTheme="majorEastAsia" w:cstheme="minorHAnsi"/>
          <w:b/>
          <w:kern w:val="0"/>
          <w:szCs w:val="21"/>
        </w:rPr>
        <w:t>特色与优势</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【自带流量的顶级名校】全美公立大学排名第2，是加州大学系统创始校区；在2</w:t>
      </w:r>
      <w:r>
        <w:rPr>
          <w:rFonts w:cs="Calibri" w:asciiTheme="minorHAnsi" w:hAnsiTheme="minorHAnsi"/>
          <w:szCs w:val="21"/>
        </w:rPr>
        <w:t>0</w:t>
      </w:r>
      <w:r>
        <w:rPr>
          <w:rFonts w:hint="eastAsia" w:cs="Calibri" w:asciiTheme="minorHAnsi" w:hAnsiTheme="minorHAnsi"/>
          <w:szCs w:val="21"/>
        </w:rPr>
        <w:t>20</w:t>
      </w:r>
      <w:r>
        <w:rPr>
          <w:rFonts w:cs="Calibri" w:asciiTheme="minorHAnsi" w:hAnsiTheme="minorHAnsi"/>
          <w:szCs w:val="21"/>
        </w:rPr>
        <w:t xml:space="preserve"> </w:t>
      </w:r>
      <w:r>
        <w:rPr>
          <w:rFonts w:hint="eastAsia" w:cs="Calibri" w:asciiTheme="minorHAnsi" w:hAnsiTheme="minorHAnsi"/>
          <w:szCs w:val="21"/>
        </w:rPr>
        <w:t>US</w:t>
      </w:r>
      <w:r>
        <w:rPr>
          <w:rFonts w:cs="Calibri" w:asciiTheme="minorHAnsi" w:hAnsiTheme="minorHAnsi"/>
          <w:szCs w:val="21"/>
        </w:rPr>
        <w:t xml:space="preserve"> </w:t>
      </w:r>
      <w:r>
        <w:rPr>
          <w:rFonts w:hint="eastAsia" w:cs="Calibri" w:asciiTheme="minorHAnsi" w:hAnsiTheme="minorHAnsi"/>
          <w:szCs w:val="21"/>
        </w:rPr>
        <w:t>News世界大学排名中位列全球第4位；</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伯克利学分与</w:t>
      </w:r>
      <w:r>
        <w:rPr>
          <w:rFonts w:hint="eastAsia" w:cs="Calibri" w:asciiTheme="minorHAnsi" w:hAnsiTheme="minorHAnsi"/>
          <w:szCs w:val="21"/>
        </w:rPr>
        <w:t>成绩单】参加</w:t>
      </w:r>
      <w:r>
        <w:rPr>
          <w:rFonts w:hint="eastAsia" w:asciiTheme="minorHAnsi" w:hAnsiTheme="minorHAnsi" w:eastAsiaTheme="majorEastAsia" w:cstheme="minorHAnsi"/>
          <w:szCs w:val="21"/>
        </w:rPr>
        <w:t>加州</w:t>
      </w:r>
      <w:r>
        <w:rPr>
          <w:rFonts w:hint="eastAsia" w:cs="Calibri" w:asciiTheme="minorHAnsi" w:hAnsiTheme="minorHAnsi" w:eastAsiaTheme="majorEastAsia"/>
          <w:szCs w:val="21"/>
        </w:rPr>
        <w:t>大学</w:t>
      </w:r>
      <w:r>
        <w:rPr>
          <w:rFonts w:hint="eastAsia" w:cs="Calibri" w:asciiTheme="minorHAnsi" w:hAnsiTheme="minorHAnsi"/>
          <w:szCs w:val="21"/>
        </w:rPr>
        <w:t>伯克利分校的顶级专业课程，获得</w:t>
      </w:r>
      <w:r>
        <w:rPr>
          <w:rFonts w:hint="eastAsia" w:cs="Calibri" w:asciiTheme="minorHAnsi" w:hAnsiTheme="minorHAnsi" w:eastAsiaTheme="majorEastAsia"/>
          <w:szCs w:val="21"/>
        </w:rPr>
        <w:t>伯克利分校</w:t>
      </w:r>
      <w:r>
        <w:rPr>
          <w:rFonts w:hint="eastAsia" w:cs="Calibri" w:asciiTheme="minorHAnsi" w:hAnsiTheme="minorHAnsi"/>
          <w:szCs w:val="21"/>
        </w:rPr>
        <w:t>的正式学分与成绩单；</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【特定方向的选课保障】哈斯商学院与法学院的定向专业学术课程，可提供选课保障，最大限度保证学生体验伯克利的教学资源；</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获得加州大学伯克利分校学生证，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7"/>
        <w:widowControl/>
        <w:numPr>
          <w:ilvl w:val="0"/>
          <w:numId w:val="2"/>
        </w:numPr>
        <w:spacing w:line="360" w:lineRule="auto"/>
        <w:ind w:firstLineChars="0"/>
        <w:jc w:val="left"/>
        <w:rPr>
          <w:rFonts w:asciiTheme="minorHAnsi" w:hAnsiTheme="minorHAnsi" w:eastAsiaTheme="majorEastAsia" w:cstheme="minorHAnsi"/>
          <w:b/>
          <w:kern w:val="0"/>
          <w:szCs w:val="21"/>
        </w:rPr>
      </w:pPr>
      <w:r>
        <w:rPr>
          <w:rFonts w:hint="eastAsia" w:cs="Calibri" w:asciiTheme="minorHAnsi" w:hAnsiTheme="minorHAnsi"/>
          <w:szCs w:val="21"/>
        </w:rPr>
        <w:t>【丰富多彩的加州文化体验】毗邻旧金山，前往洛杉矶也十分方便，尽享加州地区特色文化。</w:t>
      </w:r>
    </w:p>
    <w:p>
      <w:pPr>
        <w:pStyle w:val="17"/>
        <w:widowControl/>
        <w:spacing w:line="360" w:lineRule="auto"/>
        <w:ind w:left="840" w:firstLine="0" w:firstLineChars="0"/>
        <w:jc w:val="left"/>
        <w:rPr>
          <w:rFonts w:asciiTheme="minorHAnsi" w:hAnsiTheme="minorHAnsi" w:eastAsiaTheme="majorEastAsia" w:cs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三、 </w:t>
      </w:r>
      <w:r>
        <w:rPr>
          <w:rFonts w:hint="eastAsia" w:asciiTheme="minorHAnsi" w:hAnsiTheme="minorHAnsi" w:eastAsiaTheme="majorEastAsia" w:cstheme="minorHAnsi"/>
          <w:b/>
          <w:bCs/>
          <w:kern w:val="0"/>
          <w:szCs w:val="21"/>
        </w:rPr>
        <w:t>加州大学伯克利分校简介</w:t>
      </w:r>
    </w:p>
    <w:p>
      <w:pPr>
        <w:pStyle w:val="16"/>
        <w:widowControl/>
        <w:numPr>
          <w:ilvl w:val="0"/>
          <w:numId w:val="3"/>
        </w:numPr>
        <w:spacing w:line="360" w:lineRule="auto"/>
        <w:ind w:firstLineChars="0"/>
        <w:jc w:val="left"/>
        <w:rPr>
          <w:rFonts w:cs="Arial" w:asciiTheme="minorHAnsi" w:hAnsiTheme="minorHAnsi"/>
          <w:color w:val="333333"/>
          <w:kern w:val="0"/>
          <w:szCs w:val="21"/>
        </w:rPr>
      </w:pPr>
      <w:r>
        <w:rPr>
          <w:rFonts w:cs="Arial" w:asciiTheme="minorHAnsi" w:hAnsiTheme="minorHAnsi"/>
          <w:color w:val="333333"/>
          <w:kern w:val="0"/>
          <w:szCs w:val="21"/>
        </w:rPr>
        <w:t>创建于18</w:t>
      </w:r>
      <w:r>
        <w:rPr>
          <w:rFonts w:hint="eastAsia" w:cs="Arial" w:asciiTheme="minorHAnsi" w:hAnsiTheme="minorHAnsi"/>
          <w:color w:val="333333"/>
          <w:kern w:val="0"/>
          <w:szCs w:val="21"/>
        </w:rPr>
        <w:t>68</w:t>
      </w:r>
      <w:r>
        <w:rPr>
          <w:rFonts w:cs="Arial" w:asciiTheme="minorHAnsi" w:hAnsiTheme="minorHAnsi"/>
          <w:color w:val="333333"/>
          <w:kern w:val="0"/>
          <w:szCs w:val="21"/>
        </w:rPr>
        <w:t>年的</w:t>
      </w:r>
      <w:r>
        <w:rPr>
          <w:rFonts w:asciiTheme="minorHAnsi" w:hAnsiTheme="minorHAnsi" w:cstheme="minorHAnsi"/>
          <w:kern w:val="0"/>
          <w:szCs w:val="21"/>
        </w:rPr>
        <w:t>世界级公立研究型大学，加州大学系统中十大分校之一</w:t>
      </w:r>
      <w:r>
        <w:rPr>
          <w:rFonts w:hint="eastAsia" w:asciiTheme="minorHAnsi" w:hAnsiTheme="minorHAnsi" w:cstheme="minorHAnsi"/>
          <w:kern w:val="0"/>
          <w:szCs w:val="21"/>
        </w:rPr>
        <w:t>，同时也是加州大学系统的创始校区</w:t>
      </w:r>
      <w:r>
        <w:rPr>
          <w:rFonts w:hint="eastAsia" w:cs="Arial" w:asciiTheme="minorHAnsi" w:hAnsiTheme="minorHAnsi"/>
          <w:color w:val="333333"/>
          <w:kern w:val="0"/>
          <w:szCs w:val="21"/>
        </w:rPr>
        <w:t>；</w:t>
      </w:r>
    </w:p>
    <w:p>
      <w:pPr>
        <w:pStyle w:val="16"/>
        <w:widowControl/>
        <w:numPr>
          <w:ilvl w:val="0"/>
          <w:numId w:val="3"/>
        </w:numPr>
        <w:spacing w:line="360" w:lineRule="auto"/>
        <w:ind w:firstLineChars="0"/>
        <w:jc w:val="left"/>
        <w:rPr>
          <w:rFonts w:asciiTheme="minorHAnsi" w:hAnsiTheme="minorHAnsi"/>
        </w:rPr>
      </w:pPr>
      <w:r>
        <w:rPr>
          <w:rFonts w:cs="Arial" w:asciiTheme="minorHAnsi" w:hAnsiTheme="minorHAnsi"/>
          <w:color w:val="333333"/>
          <w:kern w:val="0"/>
          <w:szCs w:val="21"/>
        </w:rPr>
        <w:t>20</w:t>
      </w:r>
      <w:r>
        <w:rPr>
          <w:rFonts w:hint="eastAsia" w:cs="Arial" w:asciiTheme="minorHAnsi" w:hAnsiTheme="minorHAnsi"/>
          <w:color w:val="333333"/>
          <w:kern w:val="0"/>
          <w:szCs w:val="21"/>
        </w:rPr>
        <w:t>20年</w:t>
      </w:r>
      <w:r>
        <w:rPr>
          <w:rFonts w:cs="Arial" w:asciiTheme="minorHAnsi" w:hAnsiTheme="minorHAnsi"/>
          <w:color w:val="333333"/>
          <w:kern w:val="0"/>
          <w:szCs w:val="21"/>
        </w:rPr>
        <w:t>美国新闻与世界报道全美公立大学排名第2，</w:t>
      </w:r>
      <w:r>
        <w:rPr>
          <w:rFonts w:hint="eastAsia" w:cs="Arial" w:asciiTheme="minorHAnsi" w:hAnsiTheme="minorHAnsi"/>
          <w:color w:val="333333"/>
          <w:kern w:val="0"/>
          <w:szCs w:val="21"/>
        </w:rPr>
        <w:t>全球大学排名第4</w:t>
      </w:r>
      <w:r>
        <w:rPr>
          <w:rFonts w:cs="Arial" w:asciiTheme="minorHAnsi" w:hAnsiTheme="minorHAnsi"/>
          <w:color w:val="333333"/>
          <w:kern w:val="0"/>
          <w:szCs w:val="21"/>
        </w:rPr>
        <w:t>；</w:t>
      </w:r>
      <w:r>
        <w:rPr>
          <w:rFonts w:asciiTheme="minorHAnsi" w:hAnsiTheme="minorHAnsi"/>
        </w:rPr>
        <w:t>20</w:t>
      </w:r>
      <w:r>
        <w:rPr>
          <w:rFonts w:hint="eastAsia" w:asciiTheme="minorHAnsi" w:hAnsiTheme="minorHAnsi"/>
        </w:rPr>
        <w:t>20</w:t>
      </w:r>
      <w:r>
        <w:rPr>
          <w:rFonts w:asciiTheme="minorHAnsi" w:hAnsiTheme="minorHAnsi"/>
        </w:rPr>
        <w:t>年Times高等教育世界大学综合排名第</w:t>
      </w:r>
      <w:r>
        <w:rPr>
          <w:rFonts w:hint="eastAsia" w:asciiTheme="minorHAnsi" w:hAnsiTheme="minorHAnsi"/>
        </w:rPr>
        <w:t>13；2019年</w:t>
      </w:r>
      <w:r>
        <w:rPr>
          <w:rFonts w:asciiTheme="minorHAnsi" w:hAnsiTheme="minorHAnsi"/>
        </w:rPr>
        <w:t>上海交通大学世界大学学术排名</w:t>
      </w:r>
      <w:r>
        <w:rPr>
          <w:rFonts w:hint="eastAsia" w:asciiTheme="minorHAnsi" w:hAnsiTheme="minorHAnsi"/>
        </w:rPr>
        <w:t>（ARWU）位居第5；</w:t>
      </w:r>
    </w:p>
    <w:p>
      <w:pPr>
        <w:pStyle w:val="16"/>
        <w:widowControl/>
        <w:numPr>
          <w:ilvl w:val="0"/>
          <w:numId w:val="3"/>
        </w:numPr>
        <w:spacing w:line="360" w:lineRule="auto"/>
        <w:ind w:firstLineChars="0"/>
        <w:jc w:val="left"/>
        <w:rPr>
          <w:rFonts w:asciiTheme="minorHAnsi" w:hAnsiTheme="minorHAnsi"/>
        </w:rPr>
      </w:pPr>
      <w:r>
        <w:rPr>
          <w:rFonts w:hint="eastAsia" w:cs="Arial" w:asciiTheme="minorHAnsi" w:hAnsiTheme="minorHAnsi"/>
          <w:color w:val="333333"/>
          <w:kern w:val="0"/>
          <w:szCs w:val="21"/>
        </w:rPr>
        <w:t>工程学院排名全美第3，商学院排名全美第6，法学院排名全美第10，教育学院排名全美第18；</w:t>
      </w:r>
    </w:p>
    <w:p>
      <w:pPr>
        <w:pStyle w:val="16"/>
        <w:widowControl/>
        <w:numPr>
          <w:ilvl w:val="0"/>
          <w:numId w:val="3"/>
        </w:numPr>
        <w:spacing w:line="360" w:lineRule="auto"/>
        <w:ind w:firstLineChars="0"/>
        <w:jc w:val="left"/>
        <w:rPr>
          <w:rFonts w:asciiTheme="minorHAnsi" w:hAnsiTheme="minorHAnsi"/>
        </w:rPr>
      </w:pPr>
      <w:r>
        <w:rPr>
          <w:rFonts w:hint="eastAsia" w:cs="Arial" w:asciiTheme="minorHAnsi" w:hAnsiTheme="minorHAnsi"/>
          <w:color w:val="333333"/>
          <w:kern w:val="0"/>
          <w:szCs w:val="21"/>
        </w:rPr>
        <w:t>排名位居全美第1的专业包括：土木工程、环境工程、生态学、分子生物学、生物化学、计算机科学、经济学、心理学、社会学、知识产权法等；</w:t>
      </w:r>
    </w:p>
    <w:p>
      <w:pPr>
        <w:pStyle w:val="16"/>
        <w:widowControl/>
        <w:numPr>
          <w:ilvl w:val="0"/>
          <w:numId w:val="3"/>
        </w:numPr>
        <w:spacing w:line="360" w:lineRule="auto"/>
        <w:ind w:firstLineChars="0"/>
        <w:jc w:val="left"/>
        <w:rPr>
          <w:rFonts w:asciiTheme="minorHAnsi" w:hAnsiTheme="minorHAnsi"/>
        </w:rPr>
      </w:pPr>
      <w:r>
        <w:rPr>
          <w:rFonts w:cs="Calibri" w:asciiTheme="minorHAnsi" w:hAnsiTheme="minorHAnsi"/>
          <w:szCs w:val="21"/>
        </w:rPr>
        <w:t>历届校友中共有</w:t>
      </w:r>
      <w:r>
        <w:rPr>
          <w:rFonts w:hint="eastAsia" w:cs="Calibri" w:asciiTheme="minorHAnsi" w:hAnsiTheme="minorHAnsi"/>
          <w:szCs w:val="21"/>
        </w:rPr>
        <w:t>30位诺贝尔奖得主，此外还有22位诺贝尔奖得主曾经或正在学校任教。</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 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jc w:val="left"/>
        <w:rPr>
          <w:rFonts w:asciiTheme="minorHAnsi" w:hAnsiTheme="minorHAnsi" w:cstheme="minorHAnsi"/>
          <w:b/>
        </w:rPr>
      </w:pPr>
      <w:r>
        <w:rPr>
          <w:rFonts w:asciiTheme="minorHAnsi" w:hAnsiTheme="minorHAnsi" w:cstheme="minorHAnsi"/>
          <w:b/>
        </w:rPr>
        <w:t>2020</w:t>
      </w:r>
      <w:r>
        <w:rPr>
          <w:rFonts w:hint="eastAsia" w:asciiTheme="minorHAnsi" w:hAnsiTheme="minorHAnsi" w:cstheme="minorHAnsi"/>
          <w:b/>
        </w:rPr>
        <w:t>年8月</w:t>
      </w:r>
      <w:r>
        <w:rPr>
          <w:rFonts w:asciiTheme="minorHAnsi" w:hAnsiTheme="minorHAnsi" w:cstheme="minorHAnsi"/>
          <w:b/>
        </w:rPr>
        <w:t>1</w:t>
      </w:r>
      <w:r>
        <w:rPr>
          <w:rFonts w:hint="eastAsia" w:asciiTheme="minorHAnsi" w:hAnsiTheme="minorHAnsi" w:cstheme="minorHAnsi"/>
          <w:b/>
        </w:rPr>
        <w:t>9日</w:t>
      </w:r>
      <w:r>
        <w:rPr>
          <w:rFonts w:asciiTheme="minorHAnsi" w:hAnsiTheme="minorHAnsi" w:cstheme="minorHAnsi"/>
          <w:b/>
        </w:rPr>
        <w:t xml:space="preserve">- </w:t>
      </w:r>
      <w:r>
        <w:rPr>
          <w:rFonts w:hint="eastAsia" w:asciiTheme="minorHAnsi" w:hAnsiTheme="minorHAnsi" w:cstheme="minorHAnsi"/>
          <w:b/>
        </w:rPr>
        <w:t>12月</w:t>
      </w:r>
      <w:r>
        <w:rPr>
          <w:rFonts w:asciiTheme="minorHAnsi" w:hAnsiTheme="minorHAnsi" w:cstheme="minorHAnsi"/>
          <w:b/>
        </w:rPr>
        <w:t>1</w:t>
      </w:r>
      <w:r>
        <w:rPr>
          <w:rFonts w:hint="eastAsia" w:asciiTheme="minorHAnsi" w:hAnsiTheme="minorHAnsi" w:cstheme="minorHAnsi"/>
          <w:b/>
        </w:rPr>
        <w:t>8日</w:t>
      </w:r>
    </w:p>
    <w:p>
      <w:pPr>
        <w:spacing w:line="360" w:lineRule="auto"/>
        <w:rPr>
          <w:rFonts w:asciiTheme="minorHAnsi" w:hAnsiTheme="minorHAnsi" w:eastAsiaTheme="majorEastAsia" w:cstheme="minorHAnsi"/>
          <w:b/>
          <w:bCs/>
          <w:kern w:val="0"/>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加州大学伯克利分校的</w:t>
      </w:r>
      <w:r>
        <w:rPr>
          <w:rFonts w:hint="eastAsia" w:asciiTheme="minorHAnsi" w:hAnsiTheme="minorHAnsi" w:eastAsiaTheme="majorEastAsia" w:cstheme="minorHAnsi"/>
          <w:szCs w:val="21"/>
        </w:rPr>
        <w:t>学期访学项目“Berkeley Global Access Program”项目（BGA）为期约4个月，共分为以下几种不同类型：</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b/>
          <w:szCs w:val="21"/>
        </w:rPr>
        <w:t>1）学期学分课程（BGA Discover Program）</w:t>
      </w:r>
    </w:p>
    <w:p>
      <w:pPr>
        <w:spacing w:line="360" w:lineRule="auto"/>
        <w:ind w:firstLine="420" w:firstLineChars="200"/>
        <w:rPr>
          <w:rFonts w:asciiTheme="minorHAnsi" w:hAnsiTheme="minorHAnsi" w:eastAsiaTheme="majorEastAsia" w:cstheme="minorHAnsi"/>
          <w:szCs w:val="21"/>
        </w:rPr>
      </w:pPr>
      <w:r>
        <w:rPr>
          <w:rFonts w:hint="eastAsia" w:cs="Calibri" w:asciiTheme="minorHAnsi" w:hAnsiTheme="minorHAnsi"/>
          <w:szCs w:val="21"/>
        </w:rPr>
        <w:t>英语标准化成绩达到要求的学生，可根据自身的专业与兴趣</w:t>
      </w:r>
      <w:r>
        <w:rPr>
          <w:rFonts w:asciiTheme="minorHAnsi" w:hAnsiTheme="minorHAnsi" w:eastAsiaTheme="majorEastAsia" w:cstheme="minorHAnsi"/>
          <w:szCs w:val="21"/>
        </w:rPr>
        <w:t>选择相应的专业学分课程</w:t>
      </w:r>
      <w:r>
        <w:rPr>
          <w:rFonts w:hint="eastAsia" w:asciiTheme="minorHAnsi" w:hAnsiTheme="minorHAnsi" w:eastAsiaTheme="majorEastAsia" w:cstheme="minorHAnsi"/>
          <w:szCs w:val="21"/>
        </w:rPr>
        <w:t>，可选</w:t>
      </w:r>
      <w:r>
        <w:rPr>
          <w:rFonts w:hint="eastAsia" w:cs="Calibri" w:asciiTheme="minorHAnsi" w:hAnsiTheme="minorHAnsi"/>
          <w:szCs w:val="21"/>
        </w:rPr>
        <w:t>范围覆盖大多数学科领域，如艺术与人文、工程、数理、科学、社会科学、语言等。学生需在一个学期中修读总计12至18个学分的课程，其中至少有2个学分必须选修</w:t>
      </w:r>
      <w:r>
        <w:rPr>
          <w:rFonts w:hint="eastAsia" w:asciiTheme="minorHAnsi" w:hAnsiTheme="minorHAnsi" w:eastAsiaTheme="majorEastAsia" w:cstheme="minorHAnsi"/>
          <w:szCs w:val="21"/>
        </w:rPr>
        <w:t>UC Berkeley Extension的课程（既可以是语言课，也可以是专业课）。通常情况下，学生会选择3至4门UC Berkeley</w:t>
      </w:r>
      <w:r>
        <w:rPr>
          <w:rFonts w:asciiTheme="minorHAnsi" w:hAnsiTheme="minorHAnsi" w:eastAsiaTheme="majorEastAsia" w:cstheme="minorHAnsi"/>
          <w:szCs w:val="21"/>
        </w:rPr>
        <w:t>主校区</w:t>
      </w:r>
      <w:r>
        <w:rPr>
          <w:rFonts w:hint="eastAsia" w:asciiTheme="minorHAnsi" w:hAnsiTheme="minorHAnsi" w:eastAsiaTheme="majorEastAsia" w:cstheme="minorHAnsi"/>
          <w:szCs w:val="21"/>
        </w:rPr>
        <w:t>的</w:t>
      </w:r>
      <w:r>
        <w:rPr>
          <w:rFonts w:asciiTheme="minorHAnsi" w:hAnsiTheme="minorHAnsi" w:eastAsiaTheme="majorEastAsia" w:cstheme="minorHAnsi"/>
          <w:szCs w:val="21"/>
        </w:rPr>
        <w:t>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外加</w:t>
      </w:r>
      <w:r>
        <w:rPr>
          <w:rFonts w:hint="eastAsia" w:asciiTheme="minorHAnsi" w:hAnsiTheme="minorHAnsi" w:eastAsiaTheme="majorEastAsia" w:cstheme="minorHAnsi"/>
          <w:szCs w:val="21"/>
        </w:rPr>
        <w:t>1至2门UC Berkeley Extension的课程。如果是选修研究生级别的课程，则需提前征得授课教师与项目总监的批准，并达到课程所要求的先决条件。</w:t>
      </w:r>
    </w:p>
    <w:p>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查询详细课程信息及预订情况</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可参照校方</w:t>
      </w:r>
      <w:r>
        <w:rPr>
          <w:rFonts w:hint="eastAsia"/>
        </w:rPr>
        <w:t>：</w:t>
      </w:r>
      <w:r>
        <w:fldChar w:fldCharType="begin"/>
      </w:r>
      <w:r>
        <w:instrText xml:space="preserve"> HYPERLINK "http://classes.berkeley.edu/" </w:instrText>
      </w:r>
      <w:r>
        <w:fldChar w:fldCharType="separate"/>
      </w:r>
      <w:r>
        <w:rPr>
          <w:rStyle w:val="12"/>
          <w:rFonts w:asciiTheme="minorHAnsi" w:hAnsiTheme="minorHAnsi"/>
        </w:rPr>
        <w:t>http://classes.berkeley.edu/</w:t>
      </w:r>
      <w:r>
        <w:rPr>
          <w:rStyle w:val="12"/>
          <w:rFonts w:asciiTheme="minorHAnsi" w:hAnsiTheme="minorHAnsi"/>
        </w:rPr>
        <w:fldChar w:fldCharType="end"/>
      </w:r>
      <w:r>
        <w:rPr>
          <w:rFonts w:asciiTheme="minorHAnsi" w:hAnsiTheme="minorHAnsi" w:eastAsiaTheme="majorEastAsia" w:cstheme="minorHAnsi"/>
          <w:szCs w:val="21"/>
        </w:rPr>
        <w:br w:type="textWrapping"/>
      </w:r>
    </w:p>
    <w:p>
      <w:pPr>
        <w:pStyle w:val="16"/>
        <w:numPr>
          <w:ilvl w:val="0"/>
          <w:numId w:val="4"/>
        </w:numPr>
        <w:spacing w:line="360" w:lineRule="auto"/>
        <w:ind w:firstLineChars="0"/>
        <w:rPr>
          <w:rFonts w:cs="Calibri" w:asciiTheme="minorHAnsi" w:hAnsiTheme="minorHAnsi"/>
          <w:szCs w:val="21"/>
        </w:rPr>
      </w:pPr>
      <w:r>
        <w:rPr>
          <w:rFonts w:hint="eastAsia" w:asciiTheme="minorHAnsi" w:hAnsiTheme="minorHAnsi" w:eastAsiaTheme="majorEastAsia" w:cstheme="minorHAnsi"/>
          <w:b/>
          <w:szCs w:val="21"/>
        </w:rPr>
        <w:t>伯克利哈斯商学院学期学分课程 - 创业方向</w:t>
      </w:r>
      <w:r>
        <w:rPr>
          <w:rFonts w:cs="Calibri" w:asciiTheme="minorHAnsi" w:hAnsiTheme="minorHAnsi"/>
          <w:szCs w:val="21"/>
        </w:rPr>
        <w:br w:type="textWrapping"/>
      </w:r>
      <w:r>
        <w:rPr>
          <w:rFonts w:cs="Calibri" w:asciiTheme="minorHAnsi" w:hAnsiTheme="minorHAnsi"/>
          <w:szCs w:val="21"/>
        </w:rPr>
        <w:t>本项目</w:t>
      </w:r>
      <w:r>
        <w:rPr>
          <w:rFonts w:hint="eastAsia" w:cs="Calibri" w:asciiTheme="minorHAnsi" w:hAnsiTheme="minorHAnsi"/>
          <w:szCs w:val="21"/>
        </w:rPr>
        <w:t>由</w:t>
      </w:r>
      <w:r>
        <w:rPr>
          <w:rFonts w:cs="Calibri" w:asciiTheme="minorHAnsi" w:hAnsiTheme="minorHAnsi"/>
          <w:szCs w:val="21"/>
        </w:rPr>
        <w:t>全美排名第</w:t>
      </w:r>
      <w:r>
        <w:rPr>
          <w:rFonts w:hint="eastAsia" w:cs="Calibri" w:asciiTheme="minorHAnsi" w:hAnsiTheme="minorHAnsi"/>
          <w:szCs w:val="21"/>
        </w:rPr>
        <w:t>6</w:t>
      </w:r>
      <w:r>
        <w:rPr>
          <w:rFonts w:cs="Calibri" w:asciiTheme="minorHAnsi" w:hAnsiTheme="minorHAnsi"/>
          <w:szCs w:val="21"/>
        </w:rPr>
        <w:t>的</w:t>
      </w:r>
      <w:r>
        <w:rPr>
          <w:rFonts w:asciiTheme="minorHAnsi" w:hAnsiTheme="minorHAnsi" w:eastAsiaTheme="majorEastAsia" w:cstheme="minorHAnsi"/>
          <w:szCs w:val="21"/>
        </w:rPr>
        <w:t>加州大学伯克利分校哈斯商学院</w:t>
      </w:r>
      <w:r>
        <w:rPr>
          <w:rFonts w:hint="eastAsia" w:asciiTheme="minorHAnsi" w:hAnsiTheme="minorHAnsi" w:eastAsiaTheme="majorEastAsia" w:cstheme="minorHAnsi"/>
          <w:szCs w:val="21"/>
        </w:rPr>
        <w:t>（</w:t>
      </w:r>
      <w:r>
        <w:rPr>
          <w:rFonts w:ascii="Arial" w:hAnsi="Arial" w:cs="Arial"/>
          <w:color w:val="333333"/>
          <w:sz w:val="20"/>
          <w:szCs w:val="20"/>
          <w:shd w:val="clear" w:color="auto" w:fill="FFFFFF"/>
        </w:rPr>
        <w:t>Haas School of Business</w:t>
      </w:r>
      <w:r>
        <w:rPr>
          <w:rFonts w:hint="eastAsia" w:asciiTheme="minorHAnsi" w:hAnsiTheme="minorHAnsi" w:eastAsiaTheme="majorEastAsia" w:cstheme="minorHAnsi"/>
          <w:szCs w:val="21"/>
        </w:rPr>
        <w:t>）</w:t>
      </w:r>
    </w:p>
    <w:p>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参与设计，充分利用哈斯商学院顶级的师资、课程与网络，以及旧金山湾区及硅谷的创新商业生态体系，为学生提供独特的学习体验。商科或非商科背景的学生都可以参加，在一学期中将修读9至11学分的哈斯商学院课程，以及3学分的其它</w:t>
      </w:r>
      <w:r>
        <w:rPr>
          <w:rFonts w:asciiTheme="minorHAnsi" w:hAnsiTheme="minorHAnsi" w:eastAsiaTheme="majorEastAsia" w:cstheme="minorHAnsi"/>
          <w:szCs w:val="21"/>
        </w:rPr>
        <w:t>加州大学伯克利分校课程</w:t>
      </w:r>
      <w:r>
        <w:rPr>
          <w:rFonts w:hint="eastAsia" w:asciiTheme="minorHAnsi" w:hAnsiTheme="minorHAnsi" w:eastAsiaTheme="majorEastAsia" w:cstheme="minorHAnsi"/>
          <w:szCs w:val="21"/>
        </w:rPr>
        <w:t>。</w:t>
      </w:r>
    </w:p>
    <w:p>
      <w:pPr>
        <w:pStyle w:val="16"/>
        <w:spacing w:line="360" w:lineRule="auto"/>
        <w:rPr>
          <w:rFonts w:cs="Calibri" w:asciiTheme="minorHAnsi" w:hAnsiTheme="minorHAnsi"/>
          <w:szCs w:val="21"/>
        </w:rPr>
      </w:pPr>
      <w:r>
        <w:rPr>
          <w:rFonts w:asciiTheme="minorHAnsi" w:hAnsiTheme="minorHAnsi" w:eastAsiaTheme="majorEastAsia" w:cstheme="minorHAnsi"/>
          <w:szCs w:val="21"/>
        </w:rPr>
        <w:t>哈斯商学院的主课</w:t>
      </w:r>
      <w:r>
        <w:rPr>
          <w:rFonts w:hint="eastAsia" w:asciiTheme="minorHAnsi" w:hAnsiTheme="minorHAnsi" w:eastAsiaTheme="majorEastAsia" w:cstheme="minorHAnsi"/>
          <w:szCs w:val="21"/>
        </w:rPr>
        <w:t>包括</w:t>
      </w:r>
      <w:r>
        <w:rPr>
          <w:rFonts w:asciiTheme="minorHAnsi" w:hAnsiTheme="minorHAnsi" w:eastAsiaTheme="majorEastAsia" w:cstheme="minorHAnsi"/>
          <w:szCs w:val="21"/>
        </w:rPr>
        <w:t>设计思维基础</w:t>
      </w:r>
      <w:r>
        <w:rPr>
          <w:rFonts w:hint="eastAsia" w:asciiTheme="minorHAnsi" w:hAnsiTheme="minorHAnsi" w:eastAsiaTheme="majorEastAsia" w:cstheme="minorHAnsi"/>
          <w:szCs w:val="21"/>
        </w:rPr>
        <w:t>、新兴技术的创新战略以及学术与职业成就，选修课则涉及金融工程、高科技营销管理、领导力、定价策略、创业工坊、人工智能商业、区块链与技术的未来、商务与法律等内容。</w:t>
      </w:r>
    </w:p>
    <w:p>
      <w:pPr>
        <w:spacing w:line="360" w:lineRule="auto"/>
        <w:ind w:firstLine="420" w:firstLineChars="200"/>
        <w:rPr>
          <w:rFonts w:ascii="Calibri" w:hAnsi="Calibri" w:cs="Calibri" w:eastAsiaTheme="minorEastAsia"/>
          <w:szCs w:val="21"/>
        </w:rPr>
      </w:pPr>
      <w:r>
        <w:rPr>
          <w:rFonts w:ascii="Calibri" w:hAnsi="Calibri" w:cs="Calibri" w:eastAsiaTheme="minorEastAsia"/>
          <w:szCs w:val="21"/>
        </w:rPr>
        <w:t>以上</w:t>
      </w:r>
      <w:r>
        <w:rPr>
          <w:rFonts w:hint="eastAsia" w:ascii="Calibri" w:hAnsi="Calibri" w:cs="Calibri" w:eastAsiaTheme="minorEastAsia"/>
          <w:szCs w:val="21"/>
        </w:rPr>
        <w:t>为</w:t>
      </w:r>
      <w:r>
        <w:rPr>
          <w:rFonts w:ascii="Calibri" w:hAnsi="Calibri" w:cs="Calibri" w:eastAsiaTheme="minorEastAsia"/>
          <w:szCs w:val="21"/>
        </w:rPr>
        <w:t>2020年春季课程内容</w:t>
      </w:r>
      <w:r>
        <w:rPr>
          <w:rFonts w:hint="eastAsia" w:ascii="Calibri" w:hAnsi="Calibri" w:cs="Calibri" w:eastAsiaTheme="minorEastAsia"/>
          <w:szCs w:val="21"/>
        </w:rPr>
        <w:t>，</w:t>
      </w:r>
      <w:r>
        <w:rPr>
          <w:rFonts w:ascii="Calibri" w:hAnsi="Calibri" w:cs="Calibri" w:eastAsiaTheme="minorEastAsia"/>
          <w:szCs w:val="21"/>
        </w:rPr>
        <w:t>仅供参考，</w:t>
      </w:r>
      <w:r>
        <w:rPr>
          <w:rFonts w:hint="eastAsia" w:ascii="Calibri" w:hAnsi="Calibri" w:cs="Calibri" w:eastAsiaTheme="minorEastAsia"/>
          <w:szCs w:val="21"/>
        </w:rPr>
        <w:t>2020秋季</w:t>
      </w:r>
      <w:r>
        <w:rPr>
          <w:rFonts w:ascii="Calibri" w:hAnsi="Calibri" w:cs="Calibri" w:eastAsiaTheme="minorEastAsia"/>
          <w:szCs w:val="21"/>
        </w:rPr>
        <w:t>的具体课程安排，以校方最终公布的信息为准。</w:t>
      </w:r>
    </w:p>
    <w:p>
      <w:pPr>
        <w:widowControl/>
        <w:spacing w:line="360" w:lineRule="auto"/>
        <w:jc w:val="left"/>
        <w:rPr>
          <w:rFonts w:asciiTheme="minorHAnsi" w:hAnsiTheme="minorHAnsi" w:eastAsiaTheme="majorEastAsia" w:cstheme="minorHAnsi"/>
          <w:b/>
          <w:szCs w:val="21"/>
        </w:rPr>
      </w:pPr>
    </w:p>
    <w:p>
      <w:pPr>
        <w:pStyle w:val="16"/>
        <w:numPr>
          <w:ilvl w:val="0"/>
          <w:numId w:val="4"/>
        </w:numPr>
        <w:spacing w:line="360" w:lineRule="auto"/>
        <w:ind w:left="426" w:hanging="426" w:firstLineChars="0"/>
        <w:rPr>
          <w:rFonts w:cs="Calibri" w:asciiTheme="minorHAnsi" w:hAnsiTheme="minorHAnsi"/>
          <w:szCs w:val="21"/>
        </w:rPr>
      </w:pPr>
      <w:r>
        <w:rPr>
          <w:rFonts w:hint="eastAsia" w:cs="Calibri" w:asciiTheme="minorHAnsi" w:hAnsiTheme="minorHAnsi"/>
          <w:b/>
          <w:szCs w:val="21"/>
        </w:rPr>
        <w:t>伯克利法学院学期学分课程 -</w:t>
      </w:r>
      <w:r>
        <w:rPr>
          <w:rFonts w:cs="Calibri" w:asciiTheme="minorHAnsi" w:hAnsiTheme="minorHAnsi"/>
          <w:b/>
          <w:szCs w:val="21"/>
        </w:rPr>
        <w:t xml:space="preserve"> </w:t>
      </w:r>
      <w:r>
        <w:rPr>
          <w:rFonts w:hint="eastAsia" w:cs="Calibri" w:asciiTheme="minorHAnsi" w:hAnsiTheme="minorHAnsi"/>
          <w:b/>
          <w:szCs w:val="21"/>
        </w:rPr>
        <w:t>法律研究方向</w:t>
      </w:r>
    </w:p>
    <w:p>
      <w:pPr>
        <w:pStyle w:val="16"/>
        <w:spacing w:line="360" w:lineRule="auto"/>
        <w:ind w:left="426" w:firstLine="0" w:firstLineChars="0"/>
        <w:rPr>
          <w:rFonts w:cs="Calibri" w:asciiTheme="minorHAnsi" w:hAnsiTheme="minorHAnsi"/>
          <w:szCs w:val="21"/>
        </w:rPr>
      </w:pPr>
      <w:r>
        <w:rPr>
          <w:rFonts w:cs="Calibri" w:asciiTheme="minorHAnsi" w:hAnsiTheme="minorHAnsi"/>
          <w:szCs w:val="21"/>
        </w:rPr>
        <w:t>本项目由全美排名第</w:t>
      </w:r>
      <w:r>
        <w:rPr>
          <w:rFonts w:hint="eastAsia" w:cs="Calibri" w:asciiTheme="minorHAnsi" w:hAnsiTheme="minorHAnsi"/>
          <w:szCs w:val="21"/>
        </w:rPr>
        <w:t>10的</w:t>
      </w:r>
      <w:r>
        <w:rPr>
          <w:rFonts w:asciiTheme="minorHAnsi" w:hAnsiTheme="minorHAnsi" w:eastAsiaTheme="majorEastAsia" w:cstheme="minorHAnsi"/>
          <w:szCs w:val="21"/>
        </w:rPr>
        <w:t>加州大学伯克利分校</w:t>
      </w:r>
      <w:r>
        <w:rPr>
          <w:rFonts w:hint="eastAsia" w:cs="Calibri" w:asciiTheme="minorHAnsi" w:hAnsiTheme="minorHAnsi"/>
          <w:szCs w:val="21"/>
        </w:rPr>
        <w:t>法学院参与设计，</w:t>
      </w:r>
      <w:r>
        <w:rPr>
          <w:rFonts w:cs="Calibri" w:asciiTheme="minorHAnsi" w:hAnsiTheme="minorHAnsi"/>
          <w:szCs w:val="21"/>
        </w:rPr>
        <w:t>旨在</w:t>
      </w:r>
      <w:r>
        <w:rPr>
          <w:rFonts w:hint="eastAsia" w:cs="Calibri" w:asciiTheme="minorHAnsi" w:hAnsiTheme="minorHAnsi"/>
          <w:szCs w:val="21"/>
        </w:rPr>
        <w:t>帮助</w:t>
      </w:r>
      <w:r>
        <w:rPr>
          <w:rFonts w:cs="Calibri" w:asciiTheme="minorHAnsi" w:hAnsiTheme="minorHAnsi"/>
          <w:szCs w:val="21"/>
        </w:rPr>
        <w:t>学生通过参</w:t>
      </w:r>
    </w:p>
    <w:p>
      <w:pPr>
        <w:widowControl/>
        <w:spacing w:line="360" w:lineRule="auto"/>
        <w:jc w:val="left"/>
        <w:rPr>
          <w:rFonts w:asciiTheme="minorHAnsi" w:hAnsiTheme="minorHAnsi" w:eastAsiaTheme="minorEastAsia" w:cstheme="minorHAnsi"/>
          <w:szCs w:val="21"/>
        </w:rPr>
      </w:pPr>
      <w:r>
        <w:rPr>
          <w:rFonts w:cs="Calibri" w:asciiTheme="minorHAnsi" w:hAnsiTheme="minorHAnsi"/>
          <w:szCs w:val="21"/>
        </w:rPr>
        <w:t>加课程</w:t>
      </w:r>
      <w:r>
        <w:rPr>
          <w:rFonts w:hint="eastAsia" w:cs="Calibri" w:asciiTheme="minorHAnsi" w:hAnsiTheme="minorHAnsi"/>
          <w:szCs w:val="21"/>
        </w:rPr>
        <w:t>，</w:t>
      </w:r>
      <w:r>
        <w:rPr>
          <w:rFonts w:cs="Calibri" w:asciiTheme="minorHAnsi" w:hAnsiTheme="minorHAnsi"/>
          <w:szCs w:val="21"/>
        </w:rPr>
        <w:t>学习</w:t>
      </w:r>
      <w:r>
        <w:rPr>
          <w:rFonts w:hint="eastAsia" w:cs="Calibri" w:asciiTheme="minorHAnsi" w:hAnsiTheme="minorHAnsi"/>
          <w:szCs w:val="21"/>
        </w:rPr>
        <w:t>在</w:t>
      </w:r>
      <w:r>
        <w:rPr>
          <w:rFonts w:cs="Calibri" w:asciiTheme="minorHAnsi" w:hAnsiTheme="minorHAnsi"/>
          <w:szCs w:val="21"/>
        </w:rPr>
        <w:t>快速变化的全球化世界如何成为未来的法律创新者</w:t>
      </w:r>
      <w:r>
        <w:rPr>
          <w:rFonts w:hint="eastAsia" w:cs="Calibri" w:asciiTheme="minorHAnsi" w:hAnsiTheme="minorHAnsi"/>
          <w:szCs w:val="21"/>
        </w:rPr>
        <w:t>。</w:t>
      </w:r>
      <w:r>
        <w:rPr>
          <w:rFonts w:asciiTheme="minorHAnsi" w:hAnsiTheme="minorHAnsi" w:eastAsiaTheme="minorEastAsia" w:cstheme="minorHAnsi"/>
          <w:szCs w:val="21"/>
        </w:rPr>
        <w:t>学生在一个学期中，将修读两门核心课程</w:t>
      </w:r>
      <w:r>
        <w:rPr>
          <w:rFonts w:hint="eastAsia" w:asciiTheme="minorHAnsi" w:hAnsiTheme="minorHAnsi" w:eastAsiaTheme="minorEastAsia" w:cstheme="minorHAnsi"/>
          <w:szCs w:val="21"/>
        </w:rPr>
        <w:t>（每门课4学分）、</w:t>
      </w:r>
      <w:r>
        <w:rPr>
          <w:rFonts w:asciiTheme="minorHAnsi" w:hAnsiTheme="minorHAnsi" w:eastAsiaTheme="minorEastAsia" w:cstheme="minorHAnsi"/>
          <w:szCs w:val="21"/>
        </w:rPr>
        <w:t>一门选修课程</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4学分</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以及一门关于如何在加州大学伯克利分校取得学术成功的通识类课程</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1学分</w:t>
      </w:r>
      <w:r>
        <w:rPr>
          <w:rFonts w:hint="eastAsia" w:asciiTheme="minorHAnsi" w:hAnsiTheme="minorHAnsi" w:eastAsiaTheme="minorEastAsia" w:cstheme="minorHAnsi"/>
          <w:szCs w:val="21"/>
        </w:rPr>
        <w:t>）</w:t>
      </w:r>
      <w:r>
        <w:rPr>
          <w:rFonts w:asciiTheme="minorHAnsi" w:hAnsiTheme="minorHAnsi" w:eastAsiaTheme="min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cs="Calibri" w:asciiTheme="minorHAnsi" w:hAnsiTheme="minorHAnsi"/>
          <w:szCs w:val="21"/>
        </w:rPr>
        <w:t>两门核心课程分别是美国最高法院与公共政策，以及法律、技术与创业。选修课则涉及</w:t>
      </w:r>
      <w:r>
        <w:rPr>
          <w:rFonts w:asciiTheme="minorHAnsi" w:hAnsiTheme="minorHAnsi" w:eastAsiaTheme="minorEastAsia" w:cstheme="minorHAnsi"/>
          <w:szCs w:val="21"/>
        </w:rPr>
        <w:t>犯罪和刑事司法、人权研究、移民和公民身份、法律与经济II: 政府与法规、比较宪法：以色列为例、数据预测和法律、甘地，法律和民权、基本法律价值、刑法的理论基础、比较宪法、政策与社会等内容</w:t>
      </w:r>
      <w:r>
        <w:rPr>
          <w:rFonts w:hint="eastAsia" w:cs="Calibri" w:asciiTheme="minorHAnsi" w:hAnsiTheme="minorHAnsi"/>
          <w:szCs w:val="21"/>
        </w:rPr>
        <w:t>。</w:t>
      </w:r>
    </w:p>
    <w:p>
      <w:pPr>
        <w:spacing w:line="360" w:lineRule="auto"/>
        <w:ind w:firstLine="420" w:firstLineChars="200"/>
        <w:rPr>
          <w:rFonts w:ascii="Calibri" w:hAnsi="Calibri" w:cs="Calibri" w:eastAsiaTheme="minorEastAsia"/>
          <w:szCs w:val="21"/>
        </w:rPr>
      </w:pPr>
      <w:r>
        <w:drawing>
          <wp:anchor distT="0" distB="0" distL="114300" distR="114300" simplePos="0" relativeHeight="251660288" behindDoc="0" locked="0" layoutInCell="1" allowOverlap="1">
            <wp:simplePos x="0" y="0"/>
            <wp:positionH relativeFrom="column">
              <wp:posOffset>0</wp:posOffset>
            </wp:positionH>
            <wp:positionV relativeFrom="paragraph">
              <wp:posOffset>737235</wp:posOffset>
            </wp:positionV>
            <wp:extent cx="5274310" cy="1544955"/>
            <wp:effectExtent l="0" t="0" r="254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74310" cy="1544955"/>
                    </a:xfrm>
                    <a:prstGeom prst="rect">
                      <a:avLst/>
                    </a:prstGeom>
                  </pic:spPr>
                </pic:pic>
              </a:graphicData>
            </a:graphic>
          </wp:anchor>
        </w:drawing>
      </w:r>
      <w:r>
        <w:rPr>
          <w:rFonts w:ascii="Calibri" w:hAnsi="Calibri" w:cs="Calibri" w:eastAsiaTheme="minorEastAsia"/>
          <w:szCs w:val="21"/>
        </w:rPr>
        <w:t>以上</w:t>
      </w:r>
      <w:r>
        <w:rPr>
          <w:rFonts w:hint="eastAsia" w:ascii="Calibri" w:hAnsi="Calibri" w:cs="Calibri" w:eastAsiaTheme="minorEastAsia"/>
          <w:szCs w:val="21"/>
        </w:rPr>
        <w:t>为</w:t>
      </w:r>
      <w:r>
        <w:rPr>
          <w:rFonts w:ascii="Calibri" w:hAnsi="Calibri" w:cs="Calibri" w:eastAsiaTheme="minorEastAsia"/>
          <w:szCs w:val="21"/>
        </w:rPr>
        <w:t>2020年春季课程内容</w:t>
      </w:r>
      <w:r>
        <w:rPr>
          <w:rFonts w:hint="eastAsia" w:ascii="Calibri" w:hAnsi="Calibri" w:cs="Calibri" w:eastAsiaTheme="minorEastAsia"/>
          <w:szCs w:val="21"/>
        </w:rPr>
        <w:t>，</w:t>
      </w:r>
      <w:r>
        <w:rPr>
          <w:rFonts w:ascii="Calibri" w:hAnsi="Calibri" w:cs="Calibri" w:eastAsiaTheme="minorEastAsia"/>
          <w:szCs w:val="21"/>
        </w:rPr>
        <w:t>仅供参考，</w:t>
      </w:r>
      <w:r>
        <w:rPr>
          <w:rFonts w:hint="eastAsia" w:ascii="Calibri" w:hAnsi="Calibri" w:cs="Calibri" w:eastAsiaTheme="minorEastAsia"/>
          <w:szCs w:val="21"/>
        </w:rPr>
        <w:t>2020秋季</w:t>
      </w:r>
      <w:r>
        <w:rPr>
          <w:rFonts w:ascii="Calibri" w:hAnsi="Calibri" w:cs="Calibri" w:eastAsiaTheme="minorEastAsia"/>
          <w:szCs w:val="21"/>
        </w:rPr>
        <w:t>的具体课程安排，以校方最终公布的信息为准。</w:t>
      </w:r>
    </w:p>
    <w:p>
      <w:pPr>
        <w:widowControl/>
        <w:spacing w:line="360" w:lineRule="auto"/>
        <w:jc w:val="left"/>
        <w:rPr>
          <w:rFonts w:asciiTheme="minorHAnsi" w:hAnsiTheme="minorHAnsi" w:eastAsiaTheme="majorEastAsia" w:cstheme="minorHAnsi"/>
          <w:szCs w:val="21"/>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所有参加项目的学生均可获得加州大学伯克利分校正式注册的学生证，凭借学生证可在项目期内，按校方规定使用学校的校园设施与教育资源，包括图书馆、健身房、活动中心等。</w:t>
      </w:r>
    </w:p>
    <w:p>
      <w:pPr>
        <w:widowControl/>
        <w:spacing w:line="360" w:lineRule="auto"/>
        <w:ind w:firstLine="420" w:firstLineChars="200"/>
        <w:jc w:val="left"/>
        <w:rPr>
          <w:rFonts w:asciiTheme="minorHAnsi" w:hAnsiTheme="minorHAnsi" w:eastAsiaTheme="majorEastAsia" w:cstheme="minorHAnsi"/>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w:t>
      </w:r>
      <w:r>
        <w:rPr>
          <w:rFonts w:asciiTheme="minorHAnsi" w:hAnsiTheme="minorHAnsi" w:eastAsiaTheme="majorEastAsia" w:cstheme="minorHAnsi"/>
          <w:szCs w:val="21"/>
        </w:rPr>
        <w:t>由</w:t>
      </w:r>
      <w:r>
        <w:rPr>
          <w:rFonts w:cs="Calibri" w:asciiTheme="minorHAnsi" w:hAnsiTheme="minorHAnsi"/>
          <w:szCs w:val="21"/>
        </w:rPr>
        <w:t>加州大学伯克利</w:t>
      </w:r>
      <w:r>
        <w:rPr>
          <w:rFonts w:hint="eastAsia" w:cs="Calibri" w:asciiTheme="minorHAnsi" w:hAnsiTheme="minorHAnsi"/>
          <w:szCs w:val="21"/>
        </w:rPr>
        <w:t>分校</w:t>
      </w:r>
      <w:r>
        <w:rPr>
          <w:rFonts w:asciiTheme="minorHAnsi" w:hAnsiTheme="minorHAnsi" w:eastAsiaTheme="majorEastAsia" w:cstheme="minorHAnsi"/>
          <w:szCs w:val="21"/>
        </w:rPr>
        <w:t>进行统一的学术管理与学术考核</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顺利完成课程后可获得</w:t>
      </w:r>
      <w:r>
        <w:rPr>
          <w:rFonts w:hint="eastAsia" w:asciiTheme="minorHAnsi" w:hAnsiTheme="minorHAnsi" w:eastAsiaTheme="majorEastAsia" w:cstheme="minorHAnsi"/>
          <w:szCs w:val="21"/>
        </w:rPr>
        <w:t>正式的</w:t>
      </w:r>
      <w:r>
        <w:rPr>
          <w:rFonts w:asciiTheme="minorHAnsi" w:hAnsiTheme="minorHAnsi" w:eastAsiaTheme="majorEastAsia" w:cstheme="minorHAnsi"/>
          <w:szCs w:val="21"/>
        </w:rPr>
        <w:t>成绩单。</w:t>
      </w:r>
    </w:p>
    <w:p>
      <w:pPr>
        <w:spacing w:line="360" w:lineRule="auto"/>
        <w:rPr>
          <w:rFonts w:cs="Calibri" w:asciiTheme="minorHAnsi" w:hAnsiTheme="minorHAnsi"/>
          <w:sz w:val="22"/>
          <w:szCs w:val="22"/>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6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52"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学期学分课程：约</w:t>
            </w:r>
            <w:r>
              <w:rPr>
                <w:rFonts w:asciiTheme="minorHAnsi" w:hAnsiTheme="minorHAnsi" w:eastAsiaTheme="majorEastAsia" w:cstheme="minorHAnsi"/>
                <w:szCs w:val="21"/>
              </w:rPr>
              <w:t>1.6</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-2.1</w:t>
            </w:r>
            <w:r>
              <w:rPr>
                <w:rFonts w:hint="eastAsia" w:asciiTheme="minorHAnsi" w:hAnsiTheme="minorHAnsi" w:eastAsiaTheme="majorEastAsia" w:cstheme="minorHAnsi"/>
                <w:szCs w:val="21"/>
              </w:rPr>
              <w:t>5万美元（约合人民币1</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3万元</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实际费用因学生选课不同存在差异）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952" w:type="dxa"/>
            <w:vMerge w:val="continue"/>
          </w:tcPr>
          <w:p>
            <w:pPr>
              <w:spacing w:line="360" w:lineRule="auto"/>
              <w:rPr>
                <w:rFonts w:asciiTheme="minorHAnsi" w:hAnsiTheme="minorHAnsi" w:eastAsiaTheme="majorEastAsia" w:cstheme="minorHAnsi"/>
                <w:szCs w:val="21"/>
              </w:rPr>
            </w:pP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哈斯商学院创业、法学院法律研究课程：约2</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17万美元（约合人民币1</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申请费、学费、杂费、国际学生服务费、医疗与意外保险、及项目服务费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国际机票、签证费、住宿费与餐费、以及其它个人花费</w:t>
            </w:r>
          </w:p>
        </w:tc>
      </w:tr>
    </w:tbl>
    <w:p>
      <w:pPr>
        <w:widowControl/>
        <w:spacing w:line="360" w:lineRule="auto"/>
        <w:jc w:val="left"/>
        <w:rPr>
          <w:rFonts w:asciiTheme="minorHAnsi" w:hAnsiTheme="minorHAnsi" w:eastAsiaTheme="majorEastAsia" w:cstheme="minorHAnsi"/>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 项目申请</w:t>
      </w:r>
    </w:p>
    <w:p>
      <w:pPr>
        <w:pStyle w:val="16"/>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依据</w:t>
      </w:r>
      <w:r>
        <w:rPr>
          <w:rFonts w:hint="eastAsia" w:asciiTheme="minorHAnsi" w:hAnsiTheme="minorHAnsi" w:eastAsiaTheme="majorEastAsia" w:cstheme="minorHAnsi"/>
          <w:kern w:val="0"/>
          <w:szCs w:val="21"/>
        </w:rPr>
        <w:t>加州大学伯克利分校</w:t>
      </w:r>
      <w:r>
        <w:rPr>
          <w:rFonts w:asciiTheme="minorHAnsi" w:hAnsiTheme="minorHAnsi" w:eastAsiaTheme="majorEastAsia" w:cstheme="minorHAnsi"/>
          <w:kern w:val="0"/>
          <w:szCs w:val="21"/>
        </w:rPr>
        <w:t>的访学学生接收能力</w:t>
      </w:r>
      <w:r>
        <w:rPr>
          <w:rFonts w:hint="eastAsia" w:ascii="Calibri" w:hAnsi="Calibri" w:cs="Calibri"/>
          <w:szCs w:val="21"/>
        </w:rPr>
        <w:t>，我校选拔名额为</w:t>
      </w:r>
      <w:r>
        <w:rPr>
          <w:rFonts w:hint="eastAsia" w:ascii="Calibri" w:hAnsi="Calibri" w:cs="Calibri"/>
          <w:szCs w:val="21"/>
          <w:lang w:val="en-US" w:eastAsia="zh-CN"/>
        </w:rPr>
        <w:t>5</w:t>
      </w:r>
      <w:r>
        <w:rPr>
          <w:rFonts w:hint="eastAsia" w:ascii="Calibri" w:hAnsi="Calibri" w:cs="Calibri"/>
          <w:szCs w:val="21"/>
        </w:rPr>
        <w:t>名。</w:t>
      </w:r>
    </w:p>
    <w:p>
      <w:pPr>
        <w:pStyle w:val="16"/>
        <w:widowControl/>
        <w:numPr>
          <w:ilvl w:val="0"/>
          <w:numId w:val="5"/>
        </w:numPr>
        <w:tabs>
          <w:tab w:val="center" w:pos="4153"/>
        </w:tabs>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6"/>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选拔要求</w:t>
      </w:r>
    </w:p>
    <w:p>
      <w:pPr>
        <w:pStyle w:val="16"/>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仅限本校全日制在校生；且成绩优异、道德品质好，在校期间未受过纪律处分，身</w:t>
      </w:r>
    </w:p>
    <w:p>
      <w:pPr>
        <w:pStyle w:val="16"/>
        <w:spacing w:line="360" w:lineRule="auto"/>
        <w:ind w:left="36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心健康，能顺利完成</w:t>
      </w:r>
      <w:r>
        <w:rPr>
          <w:rFonts w:hint="eastAsia" w:asciiTheme="minorHAnsi" w:hAnsiTheme="minorHAnsi" w:eastAsiaTheme="majorEastAsia" w:cstheme="minorHAnsi"/>
          <w:szCs w:val="21"/>
        </w:rPr>
        <w:t>海外</w:t>
      </w:r>
      <w:r>
        <w:rPr>
          <w:rFonts w:asciiTheme="minorHAnsi" w:hAnsiTheme="minorHAnsi" w:eastAsiaTheme="majorEastAsia" w:cstheme="minorHAnsi"/>
          <w:szCs w:val="21"/>
        </w:rPr>
        <w:t>学习任务；</w:t>
      </w:r>
    </w:p>
    <w:p>
      <w:pPr>
        <w:pStyle w:val="16"/>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年龄：学生开课时需已满18岁</w:t>
      </w:r>
    </w:p>
    <w:p>
      <w:pPr>
        <w:pStyle w:val="16"/>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语言要求：英语水平需达到托福90，或雅思7；</w:t>
      </w:r>
    </w:p>
    <w:p>
      <w:pPr>
        <w:pStyle w:val="16"/>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学术要求：GPA 3.0，入读哈斯商学院与法学院课程时必须已完成大二课程；</w:t>
      </w:r>
      <w:r>
        <w:rPr>
          <w:rFonts w:asciiTheme="minorHAnsi" w:hAnsiTheme="minorHAnsi" w:eastAsiaTheme="majorEastAsia" w:cstheme="minorHAnsi"/>
          <w:szCs w:val="21"/>
        </w:rPr>
        <w:br w:type="textWrapping"/>
      </w:r>
      <w:r>
        <w:rPr>
          <w:rFonts w:asciiTheme="minorHAnsi" w:hAnsiTheme="minorHAnsi" w:eastAsiaTheme="majorEastAsia" w:cstheme="minorHAnsi"/>
          <w:szCs w:val="21"/>
        </w:rPr>
        <w:t>注</w:t>
      </w:r>
      <w:r>
        <w:rPr>
          <w:rFonts w:hint="eastAsia" w:asciiTheme="minorHAnsi" w:hAnsiTheme="minorHAnsi" w:eastAsiaTheme="majorEastAsia" w:cstheme="minorHAnsi"/>
          <w:szCs w:val="21"/>
        </w:rPr>
        <w:t>：</w:t>
      </w:r>
      <w:r>
        <w:t>如学生</w:t>
      </w:r>
      <w:r>
        <w:rPr>
          <w:rFonts w:asciiTheme="minorHAnsi" w:hAnsiTheme="minorHAnsi"/>
        </w:rPr>
        <w:t>英语成绩达到托福85-89分、或雅思6.5分、或大学英语四级550分、或大学英语六级520分，</w:t>
      </w:r>
      <w:r>
        <w:rPr>
          <w:rFonts w:hint="eastAsia" w:asciiTheme="minorHAnsi" w:hAnsiTheme="minorHAnsi"/>
        </w:rPr>
        <w:t>可另外补充</w:t>
      </w:r>
      <w:r>
        <w:rPr>
          <w:rFonts w:asciiTheme="minorHAnsi" w:hAnsiTheme="minorHAnsi"/>
        </w:rPr>
        <w:t>提交一份大学</w:t>
      </w:r>
      <w:r>
        <w:rPr>
          <w:rFonts w:hint="eastAsia" w:asciiTheme="minorHAnsi" w:hAnsiTheme="minorHAnsi"/>
        </w:rPr>
        <w:t>老师的英文</w:t>
      </w:r>
      <w:r>
        <w:rPr>
          <w:rFonts w:asciiTheme="minorHAnsi" w:hAnsiTheme="minorHAnsi"/>
        </w:rPr>
        <w:t>推荐信，证明其学术英语水平</w:t>
      </w:r>
      <w:r>
        <w:rPr>
          <w:rFonts w:hint="eastAsia" w:asciiTheme="minorHAnsi" w:hAnsiTheme="minorHAnsi"/>
        </w:rPr>
        <w:t>，在获得</w:t>
      </w:r>
      <w:r>
        <w:rPr>
          <w:rFonts w:asciiTheme="minorHAnsi" w:hAnsiTheme="minorHAnsi"/>
        </w:rPr>
        <w:t>加州大学伯克利分校国际项目部面试</w:t>
      </w:r>
      <w:r>
        <w:rPr>
          <w:rFonts w:hint="eastAsia" w:asciiTheme="minorHAnsi" w:hAnsiTheme="minorHAnsi"/>
        </w:rPr>
        <w:t>机会并通过面试</w:t>
      </w:r>
      <w:r>
        <w:rPr>
          <w:rFonts w:asciiTheme="minorHAnsi" w:hAnsiTheme="minorHAnsi"/>
        </w:rPr>
        <w:t>后</w:t>
      </w:r>
      <w:r>
        <w:rPr>
          <w:rFonts w:hint="eastAsia" w:asciiTheme="minorHAnsi" w:hAnsiTheme="minorHAnsi"/>
        </w:rPr>
        <w:t>，方</w:t>
      </w:r>
      <w:r>
        <w:rPr>
          <w:rFonts w:asciiTheme="minorHAnsi" w:hAnsiTheme="minorHAnsi"/>
        </w:rPr>
        <w:t>可获得项目录取</w:t>
      </w:r>
      <w:r>
        <w:rPr>
          <w:rFonts w:hint="eastAsia" w:asciiTheme="minorHAnsi" w:hAnsiTheme="minorHAnsi"/>
        </w:rPr>
        <w:t>；</w:t>
      </w:r>
    </w:p>
    <w:p>
      <w:pPr>
        <w:pStyle w:val="16"/>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16"/>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美方</w:t>
      </w:r>
      <w:r>
        <w:rPr>
          <w:rFonts w:asciiTheme="minorHAnsi" w:hAnsiTheme="minorHAnsi" w:eastAsiaTheme="majorEastAsia" w:cstheme="minorHAnsi"/>
          <w:szCs w:val="21"/>
        </w:rPr>
        <w:t>大学的学术审核、以及我校院系及国际交流处的派出资格审核</w:t>
      </w:r>
      <w:r>
        <w:rPr>
          <w:rFonts w:hint="eastAsia" w:asciiTheme="minorHAnsi" w:hAnsiTheme="minorHAnsi" w:eastAsiaTheme="majorEastAsia" w:cstheme="minorHAnsi"/>
          <w:szCs w:val="21"/>
        </w:rPr>
        <w:t>。</w:t>
      </w:r>
    </w:p>
    <w:p>
      <w:pPr>
        <w:pStyle w:val="16"/>
        <w:spacing w:line="360" w:lineRule="auto"/>
        <w:ind w:firstLine="0" w:firstLineChars="0"/>
        <w:rPr>
          <w:rFonts w:asciiTheme="minorHAnsi" w:hAnsiTheme="minorHAnsi" w:eastAsiaTheme="majorEastAsia" w:cstheme="minorHAnsi"/>
          <w:b/>
          <w:kern w:val="0"/>
          <w:szCs w:val="21"/>
        </w:rPr>
      </w:pPr>
    </w:p>
    <w:p>
      <w:pPr>
        <w:pStyle w:val="16"/>
        <w:numPr>
          <w:ilvl w:val="0"/>
          <w:numId w:val="7"/>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学生本人提出申请，在学校国际合作交流处（外事处）报名；</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同时登录项目选拔管理机构 -- 全美国际教育协会网站</w:t>
      </w:r>
      <w:r>
        <w:fldChar w:fldCharType="begin"/>
      </w:r>
      <w:r>
        <w:instrText xml:space="preserve"> HYPERLINK "http://www.usiea.org" </w:instrText>
      </w:r>
      <w:r>
        <w:fldChar w:fldCharType="separate"/>
      </w:r>
      <w:r>
        <w:rPr>
          <w:rStyle w:val="12"/>
          <w:rFonts w:hint="eastAsia" w:asciiTheme="minorHAnsi" w:hAnsiTheme="minorHAnsi" w:eastAsiaTheme="majorEastAsia" w:cstheme="minorHAnsi"/>
          <w:szCs w:val="21"/>
        </w:rPr>
        <w:t>www.usiea.org</w:t>
      </w:r>
      <w:r>
        <w:rPr>
          <w:rStyle w:val="12"/>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名校访学201</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学年</w:t>
      </w:r>
      <w:r>
        <w:rPr>
          <w:rFonts w:hint="eastAsia" w:asciiTheme="minorHAnsi" w:hAnsiTheme="minorHAnsi" w:eastAsiaTheme="majorEastAsia" w:cstheme="minorHAnsi"/>
          <w:szCs w:val="21"/>
        </w:rPr>
        <w:t>夏秋</w:t>
      </w:r>
      <w:r>
        <w:rPr>
          <w:rFonts w:asciiTheme="minorHAnsi" w:hAnsiTheme="minorHAnsi" w:eastAsiaTheme="majorEastAsia" w:cstheme="minorHAnsi"/>
          <w:szCs w:val="21"/>
        </w:rPr>
        <w:t>项目报名表》，网上报名的时间决定录取的顺序和安排宿舍的顺序；</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学生申请资料经初步审核后，参加面试确定预录取名单；</w:t>
      </w:r>
    </w:p>
    <w:p>
      <w:pPr>
        <w:pStyle w:val="16"/>
        <w:numPr>
          <w:ilvl w:val="0"/>
          <w:numId w:val="8"/>
        </w:numPr>
        <w:spacing w:line="360" w:lineRule="auto"/>
        <w:ind w:firstLineChars="0"/>
        <w:jc w:val="left"/>
        <w:rPr>
          <w:rFonts w:ascii="Calibri" w:hAnsi="Calibri" w:cs="Calibri"/>
          <w:color w:val="000000" w:themeColor="text1"/>
          <w:szCs w:val="21"/>
          <w:highlight w:val="none"/>
        </w:rPr>
      </w:pPr>
      <w:r>
        <w:rPr>
          <w:rFonts w:cs="Calibri" w:asciiTheme="minorHAnsi" w:hAnsiTheme="minorHAnsi"/>
          <w:szCs w:val="21"/>
        </w:rPr>
        <w:t>学生提交正式申请材料并缴纳项目费用，获得学校录取及签证后赴</w:t>
      </w:r>
      <w:r>
        <w:rPr>
          <w:rFonts w:hint="eastAsia" w:cs="Calibri" w:asciiTheme="minorHAnsi" w:hAnsiTheme="minorHAnsi"/>
          <w:szCs w:val="21"/>
        </w:rPr>
        <w:t>美</w:t>
      </w:r>
      <w:r>
        <w:rPr>
          <w:rFonts w:cs="Calibri" w:asciiTheme="minorHAnsi" w:hAnsiTheme="minorHAnsi"/>
          <w:szCs w:val="21"/>
        </w:rPr>
        <w:t>学习</w:t>
      </w:r>
      <w:r>
        <w:rPr>
          <w:rFonts w:hint="eastAsia" w:cs="Calibri" w:asciiTheme="minorHAnsi" w:hAnsiTheme="minorHAnsi"/>
          <w:szCs w:val="21"/>
        </w:rPr>
        <w:t>。</w:t>
      </w:r>
    </w:p>
    <w:p>
      <w:pPr>
        <w:pStyle w:val="16"/>
        <w:numPr>
          <w:ilvl w:val="0"/>
          <w:numId w:val="8"/>
        </w:numPr>
        <w:spacing w:line="360" w:lineRule="auto"/>
        <w:ind w:firstLineChars="0"/>
        <w:jc w:val="left"/>
        <w:rPr>
          <w:rFonts w:ascii="Calibri" w:hAnsi="Calibri" w:cs="Calibri"/>
          <w:color w:val="000000" w:themeColor="text1"/>
          <w:szCs w:val="21"/>
          <w:highlight w:val="none"/>
        </w:rPr>
      </w:pPr>
      <w:r>
        <w:rPr>
          <w:rFonts w:hint="eastAsia" w:ascii="Calibri" w:hAnsi="Calibri" w:cs="Calibri"/>
          <w:color w:val="000000" w:themeColor="text1"/>
          <w:szCs w:val="21"/>
          <w:highlight w:val="none"/>
        </w:rPr>
        <w:t>咨询电话：</w:t>
      </w:r>
    </w:p>
    <w:p>
      <w:pPr>
        <w:spacing w:line="360" w:lineRule="auto"/>
        <w:ind w:firstLine="211" w:firstLineChars="100"/>
        <w:rPr>
          <w:rFonts w:ascii="宋体" w:hAnsi="宋体" w:cs="宋体"/>
          <w:b/>
          <w:color w:val="000000" w:themeColor="text1"/>
          <w:kern w:val="0"/>
          <w:sz w:val="21"/>
          <w:szCs w:val="21"/>
          <w:highlight w:val="none"/>
        </w:rPr>
      </w:pPr>
      <w:r>
        <w:rPr>
          <w:rFonts w:hint="eastAsia" w:ascii="宋体" w:hAnsi="宋体" w:cs="宋体"/>
          <w:b/>
          <w:color w:val="000000" w:themeColor="text1"/>
          <w:kern w:val="0"/>
          <w:sz w:val="21"/>
          <w:szCs w:val="21"/>
          <w:highlight w:val="none"/>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rPr>
      </w:pPr>
      <w:r>
        <w:rPr>
          <w:rFonts w:hint="eastAsia" w:ascii="宋体" w:hAnsi="宋体" w:cs="宋体"/>
          <w:b/>
          <w:color w:val="000000" w:themeColor="text1"/>
          <w:kern w:val="0"/>
          <w:sz w:val="21"/>
          <w:szCs w:val="21"/>
          <w:highlight w:val="none"/>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rPr>
      </w:pPr>
      <w:r>
        <w:rPr>
          <w:rFonts w:hint="eastAsia" w:ascii="Calibri" w:hAnsi="Calibri" w:cs="Calibri"/>
          <w:b/>
          <w:color w:val="000000" w:themeColor="text1"/>
          <w:kern w:val="0"/>
          <w:sz w:val="21"/>
          <w:szCs w:val="21"/>
          <w:highlight w:val="none"/>
          <w:lang w:val="en-US" w:eastAsia="zh-CN"/>
        </w:rPr>
        <w:t>曾老师</w:t>
      </w:r>
      <w:r>
        <w:rPr>
          <w:rFonts w:hint="eastAsia" w:ascii="Calibri" w:hAnsi="Calibri" w:cs="Calibri"/>
          <w:b/>
          <w:color w:val="000000" w:themeColor="text1"/>
          <w:kern w:val="0"/>
          <w:sz w:val="21"/>
          <w:szCs w:val="21"/>
          <w:highlight w:val="none"/>
        </w:rPr>
        <w:t xml:space="preserve">189 2278 0945（微信同，周一至周五 </w:t>
      </w:r>
      <w:r>
        <w:rPr>
          <w:rFonts w:hint="eastAsia" w:ascii="Calibri" w:hAnsi="Calibri" w:cs="Calibri"/>
          <w:b/>
          <w:color w:val="000000" w:themeColor="text1"/>
          <w:kern w:val="0"/>
          <w:sz w:val="21"/>
          <w:szCs w:val="21"/>
          <w:highlight w:val="none"/>
          <w:lang w:val="en-US" w:eastAsia="zh-CN"/>
        </w:rPr>
        <w:t>9</w:t>
      </w:r>
      <w:r>
        <w:rPr>
          <w:rFonts w:hint="eastAsia" w:ascii="Calibri" w:hAnsi="Calibri" w:cs="Calibri"/>
          <w:b/>
          <w:color w:val="000000" w:themeColor="text1"/>
          <w:kern w:val="0"/>
          <w:sz w:val="21"/>
          <w:szCs w:val="21"/>
          <w:highlight w:val="none"/>
        </w:rPr>
        <w:t>:</w:t>
      </w:r>
      <w:r>
        <w:rPr>
          <w:rFonts w:hint="eastAsia" w:ascii="Calibri" w:hAnsi="Calibri" w:cs="Calibri"/>
          <w:b/>
          <w:color w:val="000000" w:themeColor="text1"/>
          <w:kern w:val="0"/>
          <w:sz w:val="21"/>
          <w:szCs w:val="21"/>
          <w:highlight w:val="none"/>
          <w:lang w:val="en-US" w:eastAsia="zh-CN"/>
        </w:rPr>
        <w:t>0</w:t>
      </w:r>
      <w:r>
        <w:rPr>
          <w:rFonts w:hint="eastAsia" w:ascii="Calibri" w:hAnsi="Calibri" w:cs="Calibri"/>
          <w:b/>
          <w:color w:val="000000" w:themeColor="text1"/>
          <w:kern w:val="0"/>
          <w:sz w:val="21"/>
          <w:szCs w:val="21"/>
          <w:highlight w:val="none"/>
        </w:rPr>
        <w:t>0—1</w:t>
      </w:r>
      <w:r>
        <w:rPr>
          <w:rFonts w:hint="eastAsia" w:ascii="Calibri" w:hAnsi="Calibri" w:cs="Calibri"/>
          <w:b/>
          <w:color w:val="000000" w:themeColor="text1"/>
          <w:kern w:val="0"/>
          <w:sz w:val="21"/>
          <w:szCs w:val="21"/>
          <w:highlight w:val="none"/>
          <w:lang w:val="en-US" w:eastAsia="zh-CN"/>
        </w:rPr>
        <w:t>8</w:t>
      </w:r>
      <w:r>
        <w:rPr>
          <w:rFonts w:hint="eastAsia" w:ascii="Calibri" w:hAnsi="Calibri" w:cs="Calibri"/>
          <w:b/>
          <w:color w:val="000000" w:themeColor="text1"/>
          <w:kern w:val="0"/>
          <w:sz w:val="21"/>
          <w:szCs w:val="21"/>
          <w:highlight w:val="none"/>
        </w:rPr>
        <w:t>:</w:t>
      </w:r>
      <w:r>
        <w:rPr>
          <w:rFonts w:hint="eastAsia" w:ascii="Calibri" w:hAnsi="Calibri" w:cs="Calibri"/>
          <w:b/>
          <w:color w:val="000000" w:themeColor="text1"/>
          <w:kern w:val="0"/>
          <w:sz w:val="21"/>
          <w:szCs w:val="21"/>
          <w:highlight w:val="none"/>
          <w:lang w:val="en-US" w:eastAsia="zh-CN"/>
        </w:rPr>
        <w:t>00</w:t>
      </w:r>
      <w:r>
        <w:rPr>
          <w:rFonts w:hint="eastAsia" w:ascii="Calibri" w:hAnsi="Calibri" w:cs="Calibri"/>
          <w:b/>
          <w:color w:val="000000" w:themeColor="text1"/>
          <w:kern w:val="0"/>
          <w:sz w:val="21"/>
          <w:szCs w:val="21"/>
          <w:highlight w:val="none"/>
        </w:rPr>
        <w:t>）</w:t>
      </w:r>
    </w:p>
    <w:p>
      <w:pPr>
        <w:spacing w:line="360" w:lineRule="auto"/>
        <w:ind w:firstLine="211" w:firstLineChars="100"/>
        <w:rPr>
          <w:rFonts w:asciiTheme="minorHAnsi" w:hAnsiTheme="minorHAnsi" w:eastAsiaTheme="majorEastAsia" w:cstheme="minorHAnsi"/>
          <w:kern w:val="0"/>
          <w:szCs w:val="21"/>
        </w:rPr>
      </w:pPr>
      <w:r>
        <w:rPr>
          <w:rFonts w:hint="eastAsia" w:ascii="Calibri" w:hAnsi="Calibri" w:cs="Calibri"/>
          <w:b/>
          <w:color w:val="000000" w:themeColor="text1"/>
          <w:kern w:val="0"/>
          <w:sz w:val="21"/>
          <w:szCs w:val="21"/>
          <w:highlight w:val="none"/>
          <w:lang w:val="en-US" w:eastAsia="zh-CN"/>
        </w:rPr>
        <w:t>朱老师 138 2976 1018</w:t>
      </w:r>
      <w:r>
        <w:rPr>
          <w:rFonts w:hint="eastAsia" w:ascii="Calibri" w:hAnsi="Calibri" w:cs="Calibri"/>
          <w:b/>
          <w:color w:val="000000" w:themeColor="text1"/>
          <w:kern w:val="0"/>
          <w:sz w:val="21"/>
          <w:szCs w:val="21"/>
          <w:highlight w:val="none"/>
        </w:rPr>
        <w:t xml:space="preserve">（微信同，周一至周五 </w:t>
      </w:r>
      <w:r>
        <w:rPr>
          <w:rFonts w:hint="eastAsia" w:ascii="Calibri" w:hAnsi="Calibri" w:cs="Calibri"/>
          <w:b/>
          <w:color w:val="000000" w:themeColor="text1"/>
          <w:kern w:val="0"/>
          <w:sz w:val="21"/>
          <w:szCs w:val="21"/>
          <w:highlight w:val="none"/>
          <w:lang w:val="en-US" w:eastAsia="zh-CN"/>
        </w:rPr>
        <w:t>9</w:t>
      </w:r>
      <w:r>
        <w:rPr>
          <w:rFonts w:hint="eastAsia" w:ascii="Calibri" w:hAnsi="Calibri" w:cs="Calibri"/>
          <w:b/>
          <w:color w:val="000000" w:themeColor="text1"/>
          <w:kern w:val="0"/>
          <w:sz w:val="21"/>
          <w:szCs w:val="21"/>
          <w:highlight w:val="none"/>
        </w:rPr>
        <w:t>:</w:t>
      </w:r>
      <w:r>
        <w:rPr>
          <w:rFonts w:hint="eastAsia" w:ascii="Calibri" w:hAnsi="Calibri" w:cs="Calibri"/>
          <w:b/>
          <w:color w:val="000000" w:themeColor="text1"/>
          <w:kern w:val="0"/>
          <w:sz w:val="21"/>
          <w:szCs w:val="21"/>
          <w:highlight w:val="none"/>
          <w:lang w:val="en-US" w:eastAsia="zh-CN"/>
        </w:rPr>
        <w:t>0</w:t>
      </w:r>
      <w:r>
        <w:rPr>
          <w:rFonts w:hint="eastAsia" w:ascii="Calibri" w:hAnsi="Calibri" w:cs="Calibri"/>
          <w:b/>
          <w:color w:val="000000" w:themeColor="text1"/>
          <w:kern w:val="0"/>
          <w:sz w:val="21"/>
          <w:szCs w:val="21"/>
          <w:highlight w:val="none"/>
        </w:rPr>
        <w:t>0—1</w:t>
      </w:r>
      <w:r>
        <w:rPr>
          <w:rFonts w:hint="eastAsia" w:ascii="Calibri" w:hAnsi="Calibri" w:cs="Calibri"/>
          <w:b/>
          <w:color w:val="000000" w:themeColor="text1"/>
          <w:kern w:val="0"/>
          <w:sz w:val="21"/>
          <w:szCs w:val="21"/>
          <w:highlight w:val="none"/>
          <w:lang w:val="en-US" w:eastAsia="zh-CN"/>
        </w:rPr>
        <w:t>8</w:t>
      </w:r>
      <w:r>
        <w:rPr>
          <w:rFonts w:hint="eastAsia" w:ascii="Calibri" w:hAnsi="Calibri" w:cs="Calibri"/>
          <w:b/>
          <w:color w:val="000000" w:themeColor="text1"/>
          <w:kern w:val="0"/>
          <w:sz w:val="21"/>
          <w:szCs w:val="21"/>
          <w:highlight w:val="none"/>
        </w:rPr>
        <w:t>:</w:t>
      </w:r>
      <w:r>
        <w:rPr>
          <w:rFonts w:hint="eastAsia" w:ascii="Calibri" w:hAnsi="Calibri" w:cs="Calibri"/>
          <w:b/>
          <w:color w:val="000000" w:themeColor="text1"/>
          <w:kern w:val="0"/>
          <w:sz w:val="21"/>
          <w:szCs w:val="21"/>
          <w:highlight w:val="none"/>
          <w:lang w:val="en-US" w:eastAsia="zh-CN"/>
        </w:rPr>
        <w:t>00</w:t>
      </w:r>
      <w:r>
        <w:rPr>
          <w:rFonts w:hint="eastAsia" w:ascii="Calibri" w:hAnsi="Calibri" w:cs="Calibri"/>
          <w:b/>
          <w:color w:val="000000" w:themeColor="text1"/>
          <w:kern w:val="0"/>
          <w:sz w:val="21"/>
          <w:szCs w:val="21"/>
          <w:highlight w:val="none"/>
        </w:rPr>
        <w:t>）</w:t>
      </w:r>
      <w:bookmarkStart w:id="0" w:name="_GoBack"/>
      <w:bookmarkEnd w:id="0"/>
    </w:p>
    <w:p>
      <w:pPr>
        <w:spacing w:line="360" w:lineRule="auto"/>
        <w:jc w:val="left"/>
        <w:rPr>
          <w:rFonts w:asciiTheme="minorHAnsi" w:hAnsiTheme="minorHAnsi" w:eastAsiaTheme="majorEastAsia" w:cstheme="minorHAnsi"/>
          <w:szCs w:val="21"/>
        </w:rPr>
      </w:pPr>
    </w:p>
    <w:p>
      <w:pPr>
        <w:widowControl/>
        <w:spacing w:line="360" w:lineRule="auto"/>
        <w:jc w:val="left"/>
        <w:rPr>
          <w:rStyle w:val="12"/>
          <w:rFonts w:cs="宋体" w:asciiTheme="minorHAnsi" w:hAnsiTheme="minorHAnsi"/>
          <w:color w:val="auto"/>
          <w:kern w:val="0"/>
          <w:szCs w:val="21"/>
        </w:rPr>
      </w:pPr>
      <w:r>
        <w:rPr>
          <w:rStyle w:val="12"/>
          <w:rFonts w:hint="eastAsia" w:cs="宋体" w:asciiTheme="minorHAnsi" w:hAnsiTheme="minorHAnsi"/>
          <w:color w:val="auto"/>
          <w:kern w:val="0"/>
          <w:szCs w:val="21"/>
        </w:rPr>
        <w:t>———————————————————————————————————————</w:t>
      </w:r>
    </w:p>
    <w:p>
      <w:pPr>
        <w:widowControl/>
        <w:jc w:val="left"/>
        <w:rPr>
          <w:rStyle w:val="12"/>
          <w:rFonts w:cs="宋体" w:asciiTheme="minorHAnsi" w:hAnsiTheme="minorHAnsi"/>
          <w:b/>
          <w:color w:val="auto"/>
          <w:kern w:val="0"/>
          <w:sz w:val="20"/>
          <w:szCs w:val="21"/>
        </w:rPr>
      </w:pPr>
      <w:r>
        <w:rPr>
          <w:rStyle w:val="12"/>
          <w:rFonts w:hint="eastAsia" w:cs="宋体" w:asciiTheme="minorHAnsi" w:hAnsiTheme="minorHAnsi"/>
          <w:b/>
          <w:color w:val="auto"/>
          <w:kern w:val="0"/>
          <w:sz w:val="20"/>
          <w:szCs w:val="21"/>
        </w:rPr>
        <w:t>关于全美国际教育协会</w:t>
      </w:r>
    </w:p>
    <w:p>
      <w:pPr>
        <w:widowControl/>
        <w:jc w:val="left"/>
        <w:rPr>
          <w:rStyle w:val="12"/>
          <w:rFonts w:cs="宋体" w:asciiTheme="minorHAnsi" w:hAnsiTheme="minorHAnsi"/>
          <w:b/>
          <w:kern w:val="0"/>
          <w:sz w:val="20"/>
          <w:szCs w:val="21"/>
        </w:rPr>
      </w:pPr>
      <w:r>
        <w:fldChar w:fldCharType="begin"/>
      </w:r>
      <w:r>
        <w:instrText xml:space="preserve"> HYPERLINK "http://www.usiea.org" </w:instrText>
      </w:r>
      <w:r>
        <w:fldChar w:fldCharType="separate"/>
      </w:r>
      <w:r>
        <w:rPr>
          <w:rStyle w:val="12"/>
          <w:rFonts w:hint="eastAsia" w:cs="宋体" w:asciiTheme="minorHAnsi" w:hAnsiTheme="minorHAnsi"/>
          <w:b/>
          <w:kern w:val="0"/>
          <w:sz w:val="20"/>
          <w:szCs w:val="21"/>
        </w:rPr>
        <w:t>www.usiea.org</w:t>
      </w:r>
      <w:r>
        <w:rPr>
          <w:rStyle w:val="12"/>
          <w:rFonts w:hint="eastAsia" w:cs="宋体" w:asciiTheme="minorHAnsi" w:hAnsiTheme="minorHAnsi"/>
          <w:b/>
          <w:kern w:val="0"/>
          <w:sz w:val="20"/>
          <w:szCs w:val="21"/>
        </w:rPr>
        <w:fldChar w:fldCharType="end"/>
      </w:r>
    </w:p>
    <w:p>
      <w:pPr>
        <w:widowControl/>
        <w:jc w:val="left"/>
        <w:rPr>
          <w:rStyle w:val="12"/>
          <w:rFonts w:cs="宋体" w:asciiTheme="minorHAnsi" w:hAnsiTheme="minorHAnsi"/>
          <w:b/>
          <w:color w:val="auto"/>
          <w:kern w:val="0"/>
          <w:sz w:val="20"/>
          <w:szCs w:val="21"/>
        </w:rPr>
      </w:pPr>
    </w:p>
    <w:p>
      <w:pPr>
        <w:widowControl/>
        <w:jc w:val="left"/>
        <w:rPr>
          <w:rStyle w:val="12"/>
          <w:rFonts w:cs="宋体" w:asciiTheme="minorHAnsi" w:hAnsiTheme="minorHAnsi"/>
          <w:kern w:val="0"/>
          <w:sz w:val="20"/>
          <w:szCs w:val="21"/>
        </w:rPr>
      </w:pPr>
      <w:r>
        <w:rPr>
          <w:rStyle w:val="12"/>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spacing w:line="360" w:lineRule="auto"/>
        <w:jc w:val="left"/>
        <w:rPr>
          <w:rFonts w:asciiTheme="minorHAnsi" w:hAnsiTheme="minorHAnsi" w:eastAsiaTheme="majorEastAsia" w:cstheme="minorHAnsi"/>
          <w:szCs w:val="21"/>
        </w:rPr>
      </w:pPr>
      <w:r>
        <w:rPr>
          <w:rFonts w:cs="宋体" w:asciiTheme="minorHAnsi" w:hAnsiTheme="minorHAnsi"/>
          <w:kern w:val="0"/>
          <w:sz w:val="20"/>
          <w:szCs w:val="21"/>
        </w:rPr>
        <w:t>项目邮箱咨询：</w:t>
      </w:r>
      <w:r>
        <w:fldChar w:fldCharType="begin"/>
      </w:r>
      <w:r>
        <w:instrText xml:space="preserve"> HYPERLINK "mailto:visitucb@yeah.net" </w:instrText>
      </w:r>
      <w:r>
        <w:fldChar w:fldCharType="separate"/>
      </w:r>
      <w:r>
        <w:rPr>
          <w:rStyle w:val="12"/>
          <w:rFonts w:asciiTheme="minorHAnsi" w:hAnsiTheme="minorHAnsi"/>
        </w:rPr>
        <w:t>visitucb@yeah.net</w:t>
      </w:r>
      <w:r>
        <w:rPr>
          <w:rStyle w:val="12"/>
          <w:rFonts w:asciiTheme="minorHAnsi" w:hAnsiTheme="minorHAnsi"/>
        </w:rPr>
        <w:fldChar w:fldCharType="end"/>
      </w:r>
      <w:r>
        <w:rPr>
          <w:rStyle w:val="12"/>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C33"/>
    <w:multiLevelType w:val="multilevel"/>
    <w:tmpl w:val="00E91C3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8125196"/>
    <w:multiLevelType w:val="multilevel"/>
    <w:tmpl w:val="0812519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3931E04"/>
    <w:multiLevelType w:val="multilevel"/>
    <w:tmpl w:val="13931E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35BC227D"/>
    <w:multiLevelType w:val="multilevel"/>
    <w:tmpl w:val="35BC227D"/>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D50662A"/>
    <w:multiLevelType w:val="multilevel"/>
    <w:tmpl w:val="6D50662A"/>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6">
    <w:nsid w:val="75A3467D"/>
    <w:multiLevelType w:val="multilevel"/>
    <w:tmpl w:val="75A3467D"/>
    <w:lvl w:ilvl="0" w:tentative="0">
      <w:start w:val="2"/>
      <w:numFmt w:val="decimal"/>
      <w:lvlText w:val="%1）"/>
      <w:lvlJc w:val="left"/>
      <w:pPr>
        <w:ind w:left="360" w:hanging="360"/>
      </w:pPr>
      <w:rPr>
        <w:rFonts w:hint="default" w:eastAsiaTheme="majorEastAsia" w:cstheme="minorHAnsi"/>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2"/>
  </w:num>
  <w:num w:numId="4">
    <w:abstractNumId w:val="6"/>
  </w:num>
  <w:num w:numId="5">
    <w:abstractNumId w:val="7"/>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0A8F"/>
    <w:rsid w:val="000035D7"/>
    <w:rsid w:val="00010F31"/>
    <w:rsid w:val="00014FA8"/>
    <w:rsid w:val="000169DD"/>
    <w:rsid w:val="00022AFD"/>
    <w:rsid w:val="000230BD"/>
    <w:rsid w:val="00023476"/>
    <w:rsid w:val="000236D2"/>
    <w:rsid w:val="00024A32"/>
    <w:rsid w:val="00024C64"/>
    <w:rsid w:val="00025022"/>
    <w:rsid w:val="00025206"/>
    <w:rsid w:val="0003068E"/>
    <w:rsid w:val="00030A02"/>
    <w:rsid w:val="00031403"/>
    <w:rsid w:val="000362BD"/>
    <w:rsid w:val="000402B0"/>
    <w:rsid w:val="00041148"/>
    <w:rsid w:val="00041BDA"/>
    <w:rsid w:val="00046229"/>
    <w:rsid w:val="00047E4D"/>
    <w:rsid w:val="000519A2"/>
    <w:rsid w:val="00051C6A"/>
    <w:rsid w:val="00052B6D"/>
    <w:rsid w:val="0005389A"/>
    <w:rsid w:val="00056755"/>
    <w:rsid w:val="0006181E"/>
    <w:rsid w:val="00064CA4"/>
    <w:rsid w:val="00065242"/>
    <w:rsid w:val="000820F9"/>
    <w:rsid w:val="000845C3"/>
    <w:rsid w:val="0009206E"/>
    <w:rsid w:val="000954F4"/>
    <w:rsid w:val="00095F35"/>
    <w:rsid w:val="000A0A86"/>
    <w:rsid w:val="000A2A22"/>
    <w:rsid w:val="000A4030"/>
    <w:rsid w:val="000A5251"/>
    <w:rsid w:val="000A6CE8"/>
    <w:rsid w:val="000B1A29"/>
    <w:rsid w:val="000C2A5A"/>
    <w:rsid w:val="000C2F7C"/>
    <w:rsid w:val="000C3F5B"/>
    <w:rsid w:val="000C4E56"/>
    <w:rsid w:val="000C5C18"/>
    <w:rsid w:val="000C7F9A"/>
    <w:rsid w:val="000E0D65"/>
    <w:rsid w:val="000E1209"/>
    <w:rsid w:val="000F168E"/>
    <w:rsid w:val="000F6E7C"/>
    <w:rsid w:val="001013E1"/>
    <w:rsid w:val="0010196F"/>
    <w:rsid w:val="001051AF"/>
    <w:rsid w:val="00106BA3"/>
    <w:rsid w:val="00107AEF"/>
    <w:rsid w:val="00110B1F"/>
    <w:rsid w:val="00110EDA"/>
    <w:rsid w:val="0011231F"/>
    <w:rsid w:val="00112EFC"/>
    <w:rsid w:val="001131EA"/>
    <w:rsid w:val="00116EF3"/>
    <w:rsid w:val="00120A5E"/>
    <w:rsid w:val="0012340B"/>
    <w:rsid w:val="0012488E"/>
    <w:rsid w:val="00124B0D"/>
    <w:rsid w:val="00125024"/>
    <w:rsid w:val="00127FE8"/>
    <w:rsid w:val="00131D30"/>
    <w:rsid w:val="00134011"/>
    <w:rsid w:val="00135DEF"/>
    <w:rsid w:val="00135F93"/>
    <w:rsid w:val="0013737E"/>
    <w:rsid w:val="00137744"/>
    <w:rsid w:val="00142B17"/>
    <w:rsid w:val="00143294"/>
    <w:rsid w:val="00146AB9"/>
    <w:rsid w:val="00160B9E"/>
    <w:rsid w:val="001668E7"/>
    <w:rsid w:val="00167799"/>
    <w:rsid w:val="00170451"/>
    <w:rsid w:val="001738F0"/>
    <w:rsid w:val="00176B88"/>
    <w:rsid w:val="00176F21"/>
    <w:rsid w:val="00182E04"/>
    <w:rsid w:val="001834A2"/>
    <w:rsid w:val="001839FD"/>
    <w:rsid w:val="001845C2"/>
    <w:rsid w:val="00186190"/>
    <w:rsid w:val="00190411"/>
    <w:rsid w:val="001905C8"/>
    <w:rsid w:val="00192C0F"/>
    <w:rsid w:val="001A0C7A"/>
    <w:rsid w:val="001A281F"/>
    <w:rsid w:val="001A7D56"/>
    <w:rsid w:val="001B1730"/>
    <w:rsid w:val="001C1A51"/>
    <w:rsid w:val="001C6985"/>
    <w:rsid w:val="001D1AD3"/>
    <w:rsid w:val="001D4042"/>
    <w:rsid w:val="001D4EF4"/>
    <w:rsid w:val="001E31D7"/>
    <w:rsid w:val="001E5D98"/>
    <w:rsid w:val="001F5524"/>
    <w:rsid w:val="00202030"/>
    <w:rsid w:val="00203BFF"/>
    <w:rsid w:val="002133F2"/>
    <w:rsid w:val="002150CA"/>
    <w:rsid w:val="0021711E"/>
    <w:rsid w:val="00220E2D"/>
    <w:rsid w:val="002211FB"/>
    <w:rsid w:val="0022214B"/>
    <w:rsid w:val="002274D9"/>
    <w:rsid w:val="0023241C"/>
    <w:rsid w:val="002441C6"/>
    <w:rsid w:val="002449A1"/>
    <w:rsid w:val="00251642"/>
    <w:rsid w:val="00255140"/>
    <w:rsid w:val="00261406"/>
    <w:rsid w:val="00261C11"/>
    <w:rsid w:val="0026573E"/>
    <w:rsid w:val="00271BCB"/>
    <w:rsid w:val="00275270"/>
    <w:rsid w:val="0028056A"/>
    <w:rsid w:val="002852EE"/>
    <w:rsid w:val="0029179F"/>
    <w:rsid w:val="00292326"/>
    <w:rsid w:val="00295361"/>
    <w:rsid w:val="00296348"/>
    <w:rsid w:val="00297E1A"/>
    <w:rsid w:val="002A402F"/>
    <w:rsid w:val="002B269F"/>
    <w:rsid w:val="002B61DD"/>
    <w:rsid w:val="002B7076"/>
    <w:rsid w:val="002C2028"/>
    <w:rsid w:val="002C229B"/>
    <w:rsid w:val="002C27D4"/>
    <w:rsid w:val="002C6AEB"/>
    <w:rsid w:val="002C722D"/>
    <w:rsid w:val="002D04D0"/>
    <w:rsid w:val="002D76B2"/>
    <w:rsid w:val="002E1476"/>
    <w:rsid w:val="002E3299"/>
    <w:rsid w:val="002E4985"/>
    <w:rsid w:val="002E64CC"/>
    <w:rsid w:val="002F1A53"/>
    <w:rsid w:val="002F3568"/>
    <w:rsid w:val="002F3A45"/>
    <w:rsid w:val="002F7AB9"/>
    <w:rsid w:val="0030157A"/>
    <w:rsid w:val="00302995"/>
    <w:rsid w:val="003039E1"/>
    <w:rsid w:val="00303D3D"/>
    <w:rsid w:val="0031712B"/>
    <w:rsid w:val="0032092A"/>
    <w:rsid w:val="00321717"/>
    <w:rsid w:val="00321D5F"/>
    <w:rsid w:val="00333C15"/>
    <w:rsid w:val="00342D9D"/>
    <w:rsid w:val="00342E7E"/>
    <w:rsid w:val="003507AC"/>
    <w:rsid w:val="003541E5"/>
    <w:rsid w:val="00360EC7"/>
    <w:rsid w:val="00360F09"/>
    <w:rsid w:val="00364A0C"/>
    <w:rsid w:val="00367E79"/>
    <w:rsid w:val="003738EA"/>
    <w:rsid w:val="00375491"/>
    <w:rsid w:val="003822A8"/>
    <w:rsid w:val="00383DCC"/>
    <w:rsid w:val="00386A4E"/>
    <w:rsid w:val="00386C51"/>
    <w:rsid w:val="00387362"/>
    <w:rsid w:val="00390FCA"/>
    <w:rsid w:val="00394A95"/>
    <w:rsid w:val="00396306"/>
    <w:rsid w:val="00397742"/>
    <w:rsid w:val="003A6BB9"/>
    <w:rsid w:val="003B4151"/>
    <w:rsid w:val="003B669C"/>
    <w:rsid w:val="003B786E"/>
    <w:rsid w:val="003B78DD"/>
    <w:rsid w:val="003C6EF7"/>
    <w:rsid w:val="003D0F7B"/>
    <w:rsid w:val="003D0FE9"/>
    <w:rsid w:val="003D2BCE"/>
    <w:rsid w:val="003D4037"/>
    <w:rsid w:val="003D4529"/>
    <w:rsid w:val="003D4B46"/>
    <w:rsid w:val="003D5F48"/>
    <w:rsid w:val="003E01B3"/>
    <w:rsid w:val="003E3199"/>
    <w:rsid w:val="003F050A"/>
    <w:rsid w:val="003F059B"/>
    <w:rsid w:val="003F50D1"/>
    <w:rsid w:val="003F5F88"/>
    <w:rsid w:val="003F6107"/>
    <w:rsid w:val="00405EAC"/>
    <w:rsid w:val="00411E08"/>
    <w:rsid w:val="0041273F"/>
    <w:rsid w:val="004135C9"/>
    <w:rsid w:val="004221BF"/>
    <w:rsid w:val="00426325"/>
    <w:rsid w:val="00437A33"/>
    <w:rsid w:val="004469A3"/>
    <w:rsid w:val="0045270B"/>
    <w:rsid w:val="00454C45"/>
    <w:rsid w:val="004624BE"/>
    <w:rsid w:val="00465A92"/>
    <w:rsid w:val="0046618C"/>
    <w:rsid w:val="004679CE"/>
    <w:rsid w:val="00470270"/>
    <w:rsid w:val="00471CBF"/>
    <w:rsid w:val="00472D99"/>
    <w:rsid w:val="00485AD1"/>
    <w:rsid w:val="004869CF"/>
    <w:rsid w:val="004932B6"/>
    <w:rsid w:val="004946E0"/>
    <w:rsid w:val="004955A6"/>
    <w:rsid w:val="00495E6D"/>
    <w:rsid w:val="004A1602"/>
    <w:rsid w:val="004A51A8"/>
    <w:rsid w:val="004B4D89"/>
    <w:rsid w:val="004B516E"/>
    <w:rsid w:val="004C0E26"/>
    <w:rsid w:val="004C343D"/>
    <w:rsid w:val="004C5277"/>
    <w:rsid w:val="004C6632"/>
    <w:rsid w:val="004D2090"/>
    <w:rsid w:val="004D3884"/>
    <w:rsid w:val="004D5BBA"/>
    <w:rsid w:val="004E0748"/>
    <w:rsid w:val="004E728E"/>
    <w:rsid w:val="004F0AAB"/>
    <w:rsid w:val="004F743F"/>
    <w:rsid w:val="004F7C1B"/>
    <w:rsid w:val="00500A8F"/>
    <w:rsid w:val="00503083"/>
    <w:rsid w:val="00504C25"/>
    <w:rsid w:val="005059BC"/>
    <w:rsid w:val="005060F9"/>
    <w:rsid w:val="0051106C"/>
    <w:rsid w:val="00512BAE"/>
    <w:rsid w:val="00520C0E"/>
    <w:rsid w:val="00522EAE"/>
    <w:rsid w:val="005250F2"/>
    <w:rsid w:val="00525703"/>
    <w:rsid w:val="00527573"/>
    <w:rsid w:val="005326B5"/>
    <w:rsid w:val="005339BB"/>
    <w:rsid w:val="00534317"/>
    <w:rsid w:val="00536F45"/>
    <w:rsid w:val="00537EE6"/>
    <w:rsid w:val="005401D5"/>
    <w:rsid w:val="00547E75"/>
    <w:rsid w:val="00553F46"/>
    <w:rsid w:val="00555016"/>
    <w:rsid w:val="00556212"/>
    <w:rsid w:val="005606AC"/>
    <w:rsid w:val="0057138A"/>
    <w:rsid w:val="00572B6E"/>
    <w:rsid w:val="005762B0"/>
    <w:rsid w:val="00584716"/>
    <w:rsid w:val="005849E3"/>
    <w:rsid w:val="00584E4F"/>
    <w:rsid w:val="00584E6C"/>
    <w:rsid w:val="00584F1D"/>
    <w:rsid w:val="00586D6C"/>
    <w:rsid w:val="00587D18"/>
    <w:rsid w:val="00596D1A"/>
    <w:rsid w:val="005A31F5"/>
    <w:rsid w:val="005A65C8"/>
    <w:rsid w:val="005B69C2"/>
    <w:rsid w:val="005C27A1"/>
    <w:rsid w:val="005C7CC0"/>
    <w:rsid w:val="005D0683"/>
    <w:rsid w:val="005D2678"/>
    <w:rsid w:val="005D53C9"/>
    <w:rsid w:val="005D6F09"/>
    <w:rsid w:val="005E4B22"/>
    <w:rsid w:val="005E5A41"/>
    <w:rsid w:val="005E674A"/>
    <w:rsid w:val="005E6E17"/>
    <w:rsid w:val="005F6112"/>
    <w:rsid w:val="005F6EBE"/>
    <w:rsid w:val="0060350C"/>
    <w:rsid w:val="00604B3D"/>
    <w:rsid w:val="00606AA2"/>
    <w:rsid w:val="00606C4F"/>
    <w:rsid w:val="00617A76"/>
    <w:rsid w:val="00621ED0"/>
    <w:rsid w:val="00622238"/>
    <w:rsid w:val="006231C3"/>
    <w:rsid w:val="00624BB2"/>
    <w:rsid w:val="00625AB6"/>
    <w:rsid w:val="00632329"/>
    <w:rsid w:val="00637AD1"/>
    <w:rsid w:val="006452B3"/>
    <w:rsid w:val="00652D43"/>
    <w:rsid w:val="0066295A"/>
    <w:rsid w:val="00663035"/>
    <w:rsid w:val="00664055"/>
    <w:rsid w:val="006662B4"/>
    <w:rsid w:val="00666CF9"/>
    <w:rsid w:val="00667457"/>
    <w:rsid w:val="00667A61"/>
    <w:rsid w:val="00670ED6"/>
    <w:rsid w:val="006748F2"/>
    <w:rsid w:val="0067541F"/>
    <w:rsid w:val="0068291B"/>
    <w:rsid w:val="006858D5"/>
    <w:rsid w:val="00687DBB"/>
    <w:rsid w:val="00696B1C"/>
    <w:rsid w:val="0069735A"/>
    <w:rsid w:val="006A2B5F"/>
    <w:rsid w:val="006A32C4"/>
    <w:rsid w:val="006A526F"/>
    <w:rsid w:val="006A72B8"/>
    <w:rsid w:val="006B576E"/>
    <w:rsid w:val="006B7F44"/>
    <w:rsid w:val="006C1F05"/>
    <w:rsid w:val="006C2070"/>
    <w:rsid w:val="006C7966"/>
    <w:rsid w:val="006D5B15"/>
    <w:rsid w:val="006D642C"/>
    <w:rsid w:val="006F2BC0"/>
    <w:rsid w:val="00700EA9"/>
    <w:rsid w:val="0070255A"/>
    <w:rsid w:val="00705BEF"/>
    <w:rsid w:val="00706179"/>
    <w:rsid w:val="00710DCE"/>
    <w:rsid w:val="007113DD"/>
    <w:rsid w:val="0071430B"/>
    <w:rsid w:val="00720659"/>
    <w:rsid w:val="0072201D"/>
    <w:rsid w:val="00733292"/>
    <w:rsid w:val="00736663"/>
    <w:rsid w:val="007423FD"/>
    <w:rsid w:val="00742540"/>
    <w:rsid w:val="00746CAA"/>
    <w:rsid w:val="00751375"/>
    <w:rsid w:val="00756821"/>
    <w:rsid w:val="007619AD"/>
    <w:rsid w:val="00762330"/>
    <w:rsid w:val="007640E0"/>
    <w:rsid w:val="007652B1"/>
    <w:rsid w:val="00770616"/>
    <w:rsid w:val="00772E22"/>
    <w:rsid w:val="00775505"/>
    <w:rsid w:val="00776AE1"/>
    <w:rsid w:val="00785C31"/>
    <w:rsid w:val="00791438"/>
    <w:rsid w:val="007A01B4"/>
    <w:rsid w:val="007A03BE"/>
    <w:rsid w:val="007A07E5"/>
    <w:rsid w:val="007A1FEE"/>
    <w:rsid w:val="007A385D"/>
    <w:rsid w:val="007A3E79"/>
    <w:rsid w:val="007A7362"/>
    <w:rsid w:val="007B45E3"/>
    <w:rsid w:val="007B5A17"/>
    <w:rsid w:val="007B7729"/>
    <w:rsid w:val="007C66DE"/>
    <w:rsid w:val="007D0768"/>
    <w:rsid w:val="007D224F"/>
    <w:rsid w:val="007E0C8A"/>
    <w:rsid w:val="007E3816"/>
    <w:rsid w:val="007F22A1"/>
    <w:rsid w:val="007F5700"/>
    <w:rsid w:val="00802548"/>
    <w:rsid w:val="00802957"/>
    <w:rsid w:val="00814AA6"/>
    <w:rsid w:val="00823EA5"/>
    <w:rsid w:val="00824F39"/>
    <w:rsid w:val="008267EE"/>
    <w:rsid w:val="0083050D"/>
    <w:rsid w:val="00832E9B"/>
    <w:rsid w:val="008432ED"/>
    <w:rsid w:val="00843F7D"/>
    <w:rsid w:val="00844AAF"/>
    <w:rsid w:val="008450F3"/>
    <w:rsid w:val="00854768"/>
    <w:rsid w:val="0086227D"/>
    <w:rsid w:val="00863FEE"/>
    <w:rsid w:val="008653E0"/>
    <w:rsid w:val="00876D3C"/>
    <w:rsid w:val="0088500C"/>
    <w:rsid w:val="0089014A"/>
    <w:rsid w:val="008902CF"/>
    <w:rsid w:val="008966E9"/>
    <w:rsid w:val="008B4A3B"/>
    <w:rsid w:val="008B56E5"/>
    <w:rsid w:val="008C1F77"/>
    <w:rsid w:val="008C5B19"/>
    <w:rsid w:val="008D3CFE"/>
    <w:rsid w:val="008D5E6C"/>
    <w:rsid w:val="008D7F16"/>
    <w:rsid w:val="008E4534"/>
    <w:rsid w:val="008E54DB"/>
    <w:rsid w:val="008F1045"/>
    <w:rsid w:val="008F6BCF"/>
    <w:rsid w:val="00901133"/>
    <w:rsid w:val="009018E4"/>
    <w:rsid w:val="00903BED"/>
    <w:rsid w:val="00905613"/>
    <w:rsid w:val="00905BF1"/>
    <w:rsid w:val="00906C38"/>
    <w:rsid w:val="00913572"/>
    <w:rsid w:val="00914B78"/>
    <w:rsid w:val="00915D8E"/>
    <w:rsid w:val="009171E7"/>
    <w:rsid w:val="00917A3B"/>
    <w:rsid w:val="0092087F"/>
    <w:rsid w:val="0092377F"/>
    <w:rsid w:val="0092404D"/>
    <w:rsid w:val="009274E2"/>
    <w:rsid w:val="00930DF7"/>
    <w:rsid w:val="00936821"/>
    <w:rsid w:val="0094276A"/>
    <w:rsid w:val="00942C75"/>
    <w:rsid w:val="00951195"/>
    <w:rsid w:val="00952045"/>
    <w:rsid w:val="00952BA5"/>
    <w:rsid w:val="009554FB"/>
    <w:rsid w:val="00957EEC"/>
    <w:rsid w:val="00963696"/>
    <w:rsid w:val="009642E6"/>
    <w:rsid w:val="009645E2"/>
    <w:rsid w:val="00965CCC"/>
    <w:rsid w:val="00972BCD"/>
    <w:rsid w:val="0097304E"/>
    <w:rsid w:val="0097647D"/>
    <w:rsid w:val="00983752"/>
    <w:rsid w:val="00983EF6"/>
    <w:rsid w:val="00987E7A"/>
    <w:rsid w:val="009959F3"/>
    <w:rsid w:val="009A11C1"/>
    <w:rsid w:val="009A27F7"/>
    <w:rsid w:val="009A292D"/>
    <w:rsid w:val="009A32AB"/>
    <w:rsid w:val="009A34B6"/>
    <w:rsid w:val="009A4CAF"/>
    <w:rsid w:val="009A69B5"/>
    <w:rsid w:val="009B0D73"/>
    <w:rsid w:val="009B3167"/>
    <w:rsid w:val="009C020C"/>
    <w:rsid w:val="009C2B2E"/>
    <w:rsid w:val="009C5D67"/>
    <w:rsid w:val="009C698C"/>
    <w:rsid w:val="009C7A2D"/>
    <w:rsid w:val="009C7CE4"/>
    <w:rsid w:val="009E4A3B"/>
    <w:rsid w:val="009F0653"/>
    <w:rsid w:val="009F1D8D"/>
    <w:rsid w:val="009F7FCB"/>
    <w:rsid w:val="00A00B17"/>
    <w:rsid w:val="00A014C1"/>
    <w:rsid w:val="00A042A1"/>
    <w:rsid w:val="00A052F0"/>
    <w:rsid w:val="00A1042E"/>
    <w:rsid w:val="00A1301E"/>
    <w:rsid w:val="00A1794D"/>
    <w:rsid w:val="00A207E1"/>
    <w:rsid w:val="00A220C6"/>
    <w:rsid w:val="00A2358C"/>
    <w:rsid w:val="00A2663A"/>
    <w:rsid w:val="00A31C85"/>
    <w:rsid w:val="00A32C2E"/>
    <w:rsid w:val="00A33799"/>
    <w:rsid w:val="00A33A9E"/>
    <w:rsid w:val="00A42B01"/>
    <w:rsid w:val="00A459A1"/>
    <w:rsid w:val="00A623DF"/>
    <w:rsid w:val="00A67B5E"/>
    <w:rsid w:val="00A72E16"/>
    <w:rsid w:val="00A76003"/>
    <w:rsid w:val="00A76D78"/>
    <w:rsid w:val="00A83039"/>
    <w:rsid w:val="00A83140"/>
    <w:rsid w:val="00A843DA"/>
    <w:rsid w:val="00A84830"/>
    <w:rsid w:val="00AA2334"/>
    <w:rsid w:val="00AA4DC4"/>
    <w:rsid w:val="00AB05C6"/>
    <w:rsid w:val="00AB14B1"/>
    <w:rsid w:val="00AB66D7"/>
    <w:rsid w:val="00AC32C6"/>
    <w:rsid w:val="00AD4522"/>
    <w:rsid w:val="00AD7BA1"/>
    <w:rsid w:val="00AE3BCF"/>
    <w:rsid w:val="00AF5247"/>
    <w:rsid w:val="00AF78C6"/>
    <w:rsid w:val="00AF7CB4"/>
    <w:rsid w:val="00B00961"/>
    <w:rsid w:val="00B12237"/>
    <w:rsid w:val="00B12F3C"/>
    <w:rsid w:val="00B24FF7"/>
    <w:rsid w:val="00B2543C"/>
    <w:rsid w:val="00B26192"/>
    <w:rsid w:val="00B262CD"/>
    <w:rsid w:val="00B40A66"/>
    <w:rsid w:val="00B50CF4"/>
    <w:rsid w:val="00B56E05"/>
    <w:rsid w:val="00B57B39"/>
    <w:rsid w:val="00B6632A"/>
    <w:rsid w:val="00B67C18"/>
    <w:rsid w:val="00B74F9C"/>
    <w:rsid w:val="00B801E0"/>
    <w:rsid w:val="00B83422"/>
    <w:rsid w:val="00B841C1"/>
    <w:rsid w:val="00B8765A"/>
    <w:rsid w:val="00B92A27"/>
    <w:rsid w:val="00B948DD"/>
    <w:rsid w:val="00B955B3"/>
    <w:rsid w:val="00BA15F6"/>
    <w:rsid w:val="00BB0CAA"/>
    <w:rsid w:val="00BB11A8"/>
    <w:rsid w:val="00BB2026"/>
    <w:rsid w:val="00BB4CC4"/>
    <w:rsid w:val="00BB5880"/>
    <w:rsid w:val="00BB5FC7"/>
    <w:rsid w:val="00BC3B43"/>
    <w:rsid w:val="00BC44C7"/>
    <w:rsid w:val="00BC5535"/>
    <w:rsid w:val="00BE02A7"/>
    <w:rsid w:val="00BE2788"/>
    <w:rsid w:val="00BE6F4C"/>
    <w:rsid w:val="00BE7E70"/>
    <w:rsid w:val="00BF460C"/>
    <w:rsid w:val="00BF5F9C"/>
    <w:rsid w:val="00C02F99"/>
    <w:rsid w:val="00C05D8E"/>
    <w:rsid w:val="00C06B20"/>
    <w:rsid w:val="00C06CBE"/>
    <w:rsid w:val="00C123C3"/>
    <w:rsid w:val="00C126DF"/>
    <w:rsid w:val="00C153A3"/>
    <w:rsid w:val="00C15DBB"/>
    <w:rsid w:val="00C2314E"/>
    <w:rsid w:val="00C444EA"/>
    <w:rsid w:val="00C50DF8"/>
    <w:rsid w:val="00C5114A"/>
    <w:rsid w:val="00C55AB2"/>
    <w:rsid w:val="00C55BB5"/>
    <w:rsid w:val="00C55F6E"/>
    <w:rsid w:val="00C64953"/>
    <w:rsid w:val="00C745E3"/>
    <w:rsid w:val="00C75C2E"/>
    <w:rsid w:val="00C766EF"/>
    <w:rsid w:val="00C773FC"/>
    <w:rsid w:val="00C807AA"/>
    <w:rsid w:val="00C80EE6"/>
    <w:rsid w:val="00C817A7"/>
    <w:rsid w:val="00C83017"/>
    <w:rsid w:val="00C861B2"/>
    <w:rsid w:val="00C94275"/>
    <w:rsid w:val="00CA2A8B"/>
    <w:rsid w:val="00CA2ADF"/>
    <w:rsid w:val="00CA65E9"/>
    <w:rsid w:val="00CB4339"/>
    <w:rsid w:val="00CB6A55"/>
    <w:rsid w:val="00CC06D4"/>
    <w:rsid w:val="00CC11F6"/>
    <w:rsid w:val="00CC1890"/>
    <w:rsid w:val="00CC480B"/>
    <w:rsid w:val="00CC72C5"/>
    <w:rsid w:val="00CC7310"/>
    <w:rsid w:val="00CD332E"/>
    <w:rsid w:val="00CD41C2"/>
    <w:rsid w:val="00CD603D"/>
    <w:rsid w:val="00CE06FC"/>
    <w:rsid w:val="00CE4335"/>
    <w:rsid w:val="00CE43B1"/>
    <w:rsid w:val="00CF0F2B"/>
    <w:rsid w:val="00CF370D"/>
    <w:rsid w:val="00D03331"/>
    <w:rsid w:val="00D0647B"/>
    <w:rsid w:val="00D073EA"/>
    <w:rsid w:val="00D12776"/>
    <w:rsid w:val="00D2092D"/>
    <w:rsid w:val="00D23CA9"/>
    <w:rsid w:val="00D31AFE"/>
    <w:rsid w:val="00D332D6"/>
    <w:rsid w:val="00D346FC"/>
    <w:rsid w:val="00D35444"/>
    <w:rsid w:val="00D3691D"/>
    <w:rsid w:val="00D371C4"/>
    <w:rsid w:val="00D455A2"/>
    <w:rsid w:val="00D471D1"/>
    <w:rsid w:val="00D50E81"/>
    <w:rsid w:val="00D634D8"/>
    <w:rsid w:val="00D63C2D"/>
    <w:rsid w:val="00D651FF"/>
    <w:rsid w:val="00D71DEB"/>
    <w:rsid w:val="00D73882"/>
    <w:rsid w:val="00D756E6"/>
    <w:rsid w:val="00D80609"/>
    <w:rsid w:val="00D82BB6"/>
    <w:rsid w:val="00DA100A"/>
    <w:rsid w:val="00DA25AD"/>
    <w:rsid w:val="00DA73E5"/>
    <w:rsid w:val="00DB0090"/>
    <w:rsid w:val="00DB1679"/>
    <w:rsid w:val="00DB7F87"/>
    <w:rsid w:val="00DC2F1C"/>
    <w:rsid w:val="00DC2F84"/>
    <w:rsid w:val="00DC4BA2"/>
    <w:rsid w:val="00DD4C8D"/>
    <w:rsid w:val="00DD63C9"/>
    <w:rsid w:val="00DD7FB4"/>
    <w:rsid w:val="00DF1C7E"/>
    <w:rsid w:val="00DF4AB0"/>
    <w:rsid w:val="00DF66EE"/>
    <w:rsid w:val="00DF77D7"/>
    <w:rsid w:val="00E00371"/>
    <w:rsid w:val="00E07A31"/>
    <w:rsid w:val="00E17346"/>
    <w:rsid w:val="00E20907"/>
    <w:rsid w:val="00E23047"/>
    <w:rsid w:val="00E23270"/>
    <w:rsid w:val="00E266A1"/>
    <w:rsid w:val="00E27A3F"/>
    <w:rsid w:val="00E309FD"/>
    <w:rsid w:val="00E403D4"/>
    <w:rsid w:val="00E40B95"/>
    <w:rsid w:val="00E50150"/>
    <w:rsid w:val="00E5049F"/>
    <w:rsid w:val="00E51089"/>
    <w:rsid w:val="00E5400A"/>
    <w:rsid w:val="00E61308"/>
    <w:rsid w:val="00E61E70"/>
    <w:rsid w:val="00E64653"/>
    <w:rsid w:val="00E67E38"/>
    <w:rsid w:val="00E76995"/>
    <w:rsid w:val="00E80E43"/>
    <w:rsid w:val="00E8311C"/>
    <w:rsid w:val="00E87A04"/>
    <w:rsid w:val="00E922B4"/>
    <w:rsid w:val="00E94534"/>
    <w:rsid w:val="00E97970"/>
    <w:rsid w:val="00EA4003"/>
    <w:rsid w:val="00EB0151"/>
    <w:rsid w:val="00EB3065"/>
    <w:rsid w:val="00EB7ED2"/>
    <w:rsid w:val="00EC43C8"/>
    <w:rsid w:val="00ED1806"/>
    <w:rsid w:val="00ED369B"/>
    <w:rsid w:val="00ED3F02"/>
    <w:rsid w:val="00ED457C"/>
    <w:rsid w:val="00EE0B92"/>
    <w:rsid w:val="00EE0F0E"/>
    <w:rsid w:val="00EE6702"/>
    <w:rsid w:val="00EE68D2"/>
    <w:rsid w:val="00EF14B7"/>
    <w:rsid w:val="00EF44AD"/>
    <w:rsid w:val="00F014F8"/>
    <w:rsid w:val="00F05440"/>
    <w:rsid w:val="00F13937"/>
    <w:rsid w:val="00F17267"/>
    <w:rsid w:val="00F27587"/>
    <w:rsid w:val="00F307F9"/>
    <w:rsid w:val="00F3131F"/>
    <w:rsid w:val="00F32538"/>
    <w:rsid w:val="00F34A00"/>
    <w:rsid w:val="00F34D93"/>
    <w:rsid w:val="00F62AEB"/>
    <w:rsid w:val="00F66A6D"/>
    <w:rsid w:val="00F70183"/>
    <w:rsid w:val="00F72010"/>
    <w:rsid w:val="00F76428"/>
    <w:rsid w:val="00F77798"/>
    <w:rsid w:val="00F77B4D"/>
    <w:rsid w:val="00F820F7"/>
    <w:rsid w:val="00F83A44"/>
    <w:rsid w:val="00F85C22"/>
    <w:rsid w:val="00F86B12"/>
    <w:rsid w:val="00F87AC6"/>
    <w:rsid w:val="00F87E6E"/>
    <w:rsid w:val="00F93D1F"/>
    <w:rsid w:val="00F9745D"/>
    <w:rsid w:val="00F979AC"/>
    <w:rsid w:val="00FA59B3"/>
    <w:rsid w:val="00FA6353"/>
    <w:rsid w:val="00FB32DE"/>
    <w:rsid w:val="00FB7A50"/>
    <w:rsid w:val="00FC0DF5"/>
    <w:rsid w:val="00FC44B5"/>
    <w:rsid w:val="00FC6127"/>
    <w:rsid w:val="00FC7A4D"/>
    <w:rsid w:val="00FD08A0"/>
    <w:rsid w:val="00FD2E42"/>
    <w:rsid w:val="00FD4AA6"/>
    <w:rsid w:val="00FE0183"/>
    <w:rsid w:val="00FE2B9E"/>
    <w:rsid w:val="00FE6555"/>
    <w:rsid w:val="00FE6C9A"/>
    <w:rsid w:val="00FF4D7B"/>
    <w:rsid w:val="00FF51E1"/>
    <w:rsid w:val="163D46C6"/>
    <w:rsid w:val="17BC6038"/>
    <w:rsid w:val="70994829"/>
    <w:rsid w:val="7FFFB180"/>
    <w:rsid w:val="DDCF42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qFormat/>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bCs/>
    </w:rPr>
  </w:style>
  <w:style w:type="character" w:styleId="12">
    <w:name w:val="Hyperlink"/>
    <w:qFormat/>
    <w:uiPriority w:val="0"/>
    <w:rPr>
      <w:color w:val="0068B7"/>
      <w:u w:val="none"/>
    </w:rPr>
  </w:style>
  <w:style w:type="character" w:customStyle="1" w:styleId="13">
    <w:name w:val="141"/>
    <w:qFormat/>
    <w:uiPriority w:val="0"/>
    <w:rPr>
      <w:sz w:val="21"/>
      <w:szCs w:val="21"/>
    </w:rPr>
  </w:style>
  <w:style w:type="character" w:customStyle="1" w:styleId="14">
    <w:name w:val="ztag pre"/>
    <w:basedOn w:val="10"/>
    <w:qFormat/>
    <w:uiPriority w:val="0"/>
  </w:style>
  <w:style w:type="character" w:customStyle="1" w:styleId="15">
    <w:name w:val="已访问的超链接1"/>
    <w:qFormat/>
    <w:uiPriority w:val="0"/>
    <w:rPr>
      <w:color w:val="800080"/>
      <w:u w:val="single"/>
    </w:rPr>
  </w:style>
  <w:style w:type="paragraph" w:customStyle="1" w:styleId="16">
    <w:name w:val="列表段落1"/>
    <w:basedOn w:val="1"/>
    <w:qFormat/>
    <w:uiPriority w:val="34"/>
    <w:pPr>
      <w:ind w:firstLine="420" w:firstLineChars="200"/>
    </w:pPr>
  </w:style>
  <w:style w:type="paragraph" w:styleId="17">
    <w:name w:val="List Paragraph"/>
    <w:basedOn w:val="1"/>
    <w:qFormat/>
    <w:uiPriority w:val="34"/>
    <w:pPr>
      <w:ind w:firstLine="420" w:firstLineChars="200"/>
    </w:pPr>
  </w:style>
  <w:style w:type="character" w:customStyle="1" w:styleId="18">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F35059-A064-4095-A17C-3DB18A14642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558</Words>
  <Characters>3181</Characters>
  <Lines>26</Lines>
  <Paragraphs>7</Paragraphs>
  <TotalTime>0</TotalTime>
  <ScaleCrop>false</ScaleCrop>
  <LinksUpToDate>false</LinksUpToDate>
  <CharactersWithSpaces>3732</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2016-12-16T18:46:00Z</dcterms:created>
  <dc:creator>全美国际教育协会</dc:creator>
  <cp:lastModifiedBy>Julia</cp:lastModifiedBy>
  <cp:lastPrinted>2011-12-17T00:54:00Z</cp:lastPrinted>
  <dcterms:modified xsi:type="dcterms:W3CDTF">2019-12-27T03:10:43Z</dcterms:modified>
  <dc:title>加州大学河滨分校短期访学项目</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