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4464050</wp:posOffset>
            </wp:positionH>
            <wp:positionV relativeFrom="paragraph">
              <wp:posOffset>-422275</wp:posOffset>
            </wp:positionV>
            <wp:extent cx="857885" cy="299720"/>
            <wp:effectExtent l="0" t="0" r="0" b="508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692" cy="2998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英国</w:t>
      </w: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>伦敦</w:t>
      </w: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国王</w:t>
      </w: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 xml:space="preserve">学院 </w:t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>暑期</w:t>
      </w: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专业学习</w:t>
      </w: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>项目</w:t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K</w:t>
      </w: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>ing’s College London</w:t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Cs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Cs/>
          <w:kern w:val="0"/>
          <w:sz w:val="32"/>
          <w:szCs w:val="21"/>
        </w:rPr>
        <w:t>S</w:t>
      </w:r>
      <w:r>
        <w:rPr>
          <w:rFonts w:asciiTheme="minorHAnsi" w:hAnsiTheme="minorHAnsi" w:eastAsiaTheme="majorEastAsia" w:cstheme="minorHAnsi"/>
          <w:bCs/>
          <w:kern w:val="0"/>
          <w:sz w:val="32"/>
          <w:szCs w:val="21"/>
        </w:rPr>
        <w:t>ummer School</w:t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asciiTheme="minorHAnsi" w:hAnsiTheme="minorHAnsi" w:eastAsiaTheme="majorEastAsia" w:cstheme="minorHAnsi"/>
          <w:kern w:val="0"/>
          <w:szCs w:val="21"/>
        </w:rPr>
        <w:t>（</w:t>
      </w:r>
      <w:r>
        <w:rPr>
          <w:rFonts w:cs="Calibri" w:asciiTheme="minorHAnsi" w:hAnsiTheme="minorHAnsi"/>
          <w:kern w:val="0"/>
          <w:szCs w:val="21"/>
        </w:rPr>
        <w:t>20</w:t>
      </w:r>
      <w:r>
        <w:rPr>
          <w:rFonts w:hint="eastAsia" w:cs="Calibri" w:asciiTheme="minorHAnsi" w:hAnsiTheme="minorHAnsi"/>
          <w:kern w:val="0"/>
          <w:szCs w:val="21"/>
        </w:rPr>
        <w:t>20</w:t>
      </w:r>
      <w:r>
        <w:rPr>
          <w:rFonts w:cs="Calibri" w:asciiTheme="minorHAnsi" w:hAnsiTheme="minorHAnsi"/>
          <w:kern w:val="0"/>
          <w:szCs w:val="21"/>
        </w:rPr>
        <w:t>年暑期</w:t>
      </w:r>
      <w:r>
        <w:rPr>
          <w:rFonts w:asciiTheme="minorHAnsi" w:hAnsiTheme="minorHAnsi" w:eastAsiaTheme="majorEastAsia" w:cstheme="minorHAnsi"/>
          <w:kern w:val="0"/>
          <w:szCs w:val="21"/>
        </w:rPr>
        <w:t>）</w:t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kern w:val="0"/>
          <w:szCs w:val="21"/>
        </w:rPr>
      </w:pPr>
    </w:p>
    <w:p>
      <w:pPr>
        <w:pStyle w:val="20"/>
        <w:widowControl/>
        <w:numPr>
          <w:ilvl w:val="0"/>
          <w:numId w:val="1"/>
        </w:numPr>
        <w:spacing w:line="360" w:lineRule="auto"/>
        <w:ind w:firstLineChars="0"/>
        <w:rPr>
          <w:rFonts w:cs="Calibri" w:asciiTheme="minorHAnsi" w:hAnsiTheme="minorHAnsi"/>
          <w:b/>
          <w:kern w:val="0"/>
          <w:szCs w:val="21"/>
        </w:rPr>
      </w:pPr>
      <w:r>
        <w:rPr>
          <w:rFonts w:hint="eastAsia" w:cs="Calibri" w:asciiTheme="minorHAnsi" w:hAnsiTheme="minorHAnsi"/>
          <w:b/>
          <w:kern w:val="0"/>
          <w:szCs w:val="21"/>
        </w:rPr>
        <w:t>项目综述</w:t>
      </w:r>
    </w:p>
    <w:p>
      <w:pPr>
        <w:widowControl/>
        <w:spacing w:line="360" w:lineRule="auto"/>
        <w:ind w:firstLine="420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>伦敦国王学院（</w:t>
      </w:r>
      <w:r>
        <w:rPr>
          <w:rFonts w:cs="Calibri" w:asciiTheme="minorHAnsi" w:hAnsiTheme="minorHAnsi"/>
          <w:kern w:val="0"/>
          <w:szCs w:val="21"/>
        </w:rPr>
        <w:t>King’s College London</w:t>
      </w:r>
      <w:r>
        <w:rPr>
          <w:rFonts w:hint="eastAsia" w:cs="Calibri" w:asciiTheme="minorHAnsi" w:hAnsiTheme="minorHAnsi"/>
          <w:kern w:val="0"/>
          <w:szCs w:val="21"/>
        </w:rPr>
        <w:t>, 简称K</w:t>
      </w:r>
      <w:r>
        <w:rPr>
          <w:rFonts w:cs="Calibri" w:asciiTheme="minorHAnsi" w:hAnsiTheme="minorHAnsi"/>
          <w:kern w:val="0"/>
          <w:szCs w:val="21"/>
        </w:rPr>
        <w:t>C</w:t>
      </w:r>
      <w:r>
        <w:rPr>
          <w:rFonts w:hint="eastAsia" w:cs="Calibri" w:asciiTheme="minorHAnsi" w:hAnsiTheme="minorHAnsi"/>
          <w:kern w:val="0"/>
          <w:szCs w:val="21"/>
        </w:rPr>
        <w:t>L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）暑期专业学习课程由K</w:t>
      </w:r>
      <w:r>
        <w:rPr>
          <w:rFonts w:asciiTheme="minorHAnsi" w:hAnsiTheme="minorHAnsi" w:eastAsiaTheme="majorEastAsia" w:cstheme="minorHAnsi"/>
          <w:kern w:val="0"/>
          <w:szCs w:val="21"/>
        </w:rPr>
        <w:t>CL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暑校（</w:t>
      </w:r>
      <w:r>
        <w:rPr>
          <w:rFonts w:asciiTheme="minorHAnsi" w:hAnsiTheme="minorHAnsi" w:eastAsiaTheme="majorEastAsia" w:cstheme="minorHAnsi"/>
          <w:kern w:val="0"/>
          <w:szCs w:val="21"/>
        </w:rPr>
        <w:t>KCL Summer School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）开设，旨在为来自世界各地的访学生提供为期三周的专业课程学习，包括丰富多元的学术主题，以满足不同领域学生的专业学习需求</w:t>
      </w:r>
      <w:r>
        <w:rPr>
          <w:rFonts w:asciiTheme="minorHAnsi" w:hAnsiTheme="minorHAnsi" w:eastAsiaTheme="majorEastAsia" w:cstheme="minorHAnsi"/>
          <w:kern w:val="0"/>
          <w:szCs w:val="21"/>
        </w:rPr>
        <w:t>。</w:t>
      </w:r>
    </w:p>
    <w:p>
      <w:pPr>
        <w:widowControl/>
        <w:spacing w:line="360" w:lineRule="auto"/>
        <w:ind w:firstLine="420"/>
        <w:jc w:val="left"/>
        <w:rPr>
          <w:rFonts w:asciiTheme="minorHAnsi" w:hAnsiTheme="minorHAnsi" w:eastAsiaTheme="majorEastAsia" w:cstheme="minorHAnsi"/>
          <w:kern w:val="0"/>
          <w:szCs w:val="21"/>
        </w:rPr>
      </w:pP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311150</wp:posOffset>
            </wp:positionH>
            <wp:positionV relativeFrom="paragraph">
              <wp:posOffset>1292225</wp:posOffset>
            </wp:positionV>
            <wp:extent cx="4743450" cy="2503170"/>
            <wp:effectExtent l="0" t="0" r="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2503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全美国际教育协会作为L</w:t>
      </w:r>
      <w:r>
        <w:rPr>
          <w:rFonts w:asciiTheme="minorHAnsi" w:hAnsiTheme="minorHAnsi" w:eastAsiaTheme="majorEastAsia" w:cstheme="minorHAnsi"/>
          <w:kern w:val="0"/>
          <w:szCs w:val="21"/>
        </w:rPr>
        <w:t>SE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在中国的正式授权机构，负责选拔优秀中国大学生，于2020年暑期前往</w:t>
      </w:r>
      <w:r>
        <w:rPr>
          <w:rFonts w:asciiTheme="minorHAnsi" w:hAnsiTheme="minorHAnsi" w:eastAsiaTheme="majorEastAsia" w:cstheme="minorHAnsi"/>
          <w:kern w:val="0"/>
          <w:szCs w:val="21"/>
        </w:rPr>
        <w:t>KCL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参加为期三周的暑期专业学习项目。学生将与其他国际学生一起参与专业课程的学习</w:t>
      </w:r>
      <w:r>
        <w:rPr>
          <w:rFonts w:hint="eastAsia" w:asciiTheme="minorHAnsi" w:hAnsiTheme="minorHAnsi" w:eastAsiaTheme="majorEastAsia" w:cstheme="minorHAnsi"/>
          <w:szCs w:val="21"/>
        </w:rPr>
        <w:t>，充分体验</w:t>
      </w:r>
      <w:r>
        <w:rPr>
          <w:rFonts w:asciiTheme="minorHAnsi" w:hAnsiTheme="minorHAnsi" w:eastAsiaTheme="majorEastAsia" w:cstheme="minorHAnsi"/>
          <w:szCs w:val="21"/>
        </w:rPr>
        <w:t>KCL</w:t>
      </w:r>
      <w:r>
        <w:rPr>
          <w:rFonts w:hint="eastAsia" w:asciiTheme="minorHAnsi" w:hAnsiTheme="minorHAnsi" w:eastAsiaTheme="majorEastAsia" w:cstheme="minorHAnsi"/>
          <w:szCs w:val="21"/>
        </w:rPr>
        <w:t>严谨的学术氛围，同时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有效提升自身的英语水平以及专业素养。</w:t>
      </w:r>
    </w:p>
    <w:p>
      <w:pPr>
        <w:widowControl/>
        <w:spacing w:line="360" w:lineRule="auto"/>
        <w:ind w:firstLine="420"/>
        <w:jc w:val="left"/>
        <w:rPr>
          <w:rFonts w:cs="Calibri" w:asciiTheme="minorHAnsi" w:hAnsiTheme="minorHAnsi"/>
          <w:szCs w:val="21"/>
        </w:rPr>
      </w:pPr>
    </w:p>
    <w:p>
      <w:pPr>
        <w:pStyle w:val="20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特色与优势</w:t>
      </w:r>
    </w:p>
    <w:p>
      <w:pPr>
        <w:pStyle w:val="20"/>
        <w:widowControl/>
        <w:spacing w:line="360" w:lineRule="auto"/>
        <w:ind w:left="440" w:firstLine="0" w:firstLineChars="0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【丰富的课程选择】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课程种类覆盖医学健康、商科管理、计算机科学、法律、国际关系、社会政策、文学艺术等；</w:t>
      </w:r>
    </w:p>
    <w:p>
      <w:pPr>
        <w:pStyle w:val="20"/>
        <w:widowControl/>
        <w:spacing w:line="360" w:lineRule="auto"/>
        <w:ind w:left="440" w:firstLine="0" w:firstLineChars="0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【校内住宿保障】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参加K</w:t>
      </w:r>
      <w:r>
        <w:rPr>
          <w:rFonts w:asciiTheme="minorHAnsi" w:hAnsiTheme="minorHAnsi" w:eastAsiaTheme="majorEastAsia" w:cstheme="minorHAnsi"/>
          <w:kern w:val="0"/>
          <w:szCs w:val="21"/>
        </w:rPr>
        <w:t>CL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暑期课程的学生，可入住学校宿舍，安全有充分保障；</w:t>
      </w:r>
    </w:p>
    <w:p>
      <w:pPr>
        <w:pStyle w:val="20"/>
        <w:widowControl/>
        <w:spacing w:line="360" w:lineRule="auto"/>
        <w:ind w:left="440" w:firstLine="0"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【K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CL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的成绩单】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学生可</w:t>
      </w:r>
      <w:r>
        <w:rPr>
          <w:rFonts w:hint="eastAsia" w:cs="Calibri" w:asciiTheme="minorHAnsi" w:hAnsiTheme="minorHAnsi"/>
          <w:szCs w:val="21"/>
        </w:rPr>
        <w:t>获得K</w:t>
      </w:r>
      <w:r>
        <w:rPr>
          <w:rFonts w:cs="Calibri" w:asciiTheme="minorHAnsi" w:hAnsiTheme="minorHAnsi"/>
          <w:szCs w:val="21"/>
        </w:rPr>
        <w:t>CL</w:t>
      </w:r>
      <w:r>
        <w:rPr>
          <w:rFonts w:hint="eastAsia" w:cs="Calibri" w:asciiTheme="minorHAnsi" w:hAnsiTheme="minorHAnsi"/>
          <w:szCs w:val="21"/>
        </w:rPr>
        <w:t>的成绩单与项目证书，为个人履历添砖加瓦；</w:t>
      </w:r>
    </w:p>
    <w:p>
      <w:pPr>
        <w:pStyle w:val="20"/>
        <w:widowControl/>
        <w:spacing w:line="360" w:lineRule="auto"/>
        <w:ind w:left="440" w:firstLine="0"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【伦敦的独特魅力】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在伦敦生活与学习，体验</w:t>
      </w:r>
      <w:r>
        <w:rPr>
          <w:rFonts w:hint="eastAsia" w:cs="Calibri" w:asciiTheme="minorHAnsi" w:hAnsiTheme="minorHAnsi"/>
          <w:szCs w:val="21"/>
        </w:rPr>
        <w:t>丰富多彩的英伦文化；</w:t>
      </w:r>
    </w:p>
    <w:p>
      <w:pPr>
        <w:pStyle w:val="20"/>
        <w:widowControl/>
        <w:spacing w:line="360" w:lineRule="auto"/>
        <w:ind w:left="440" w:firstLine="0" w:firstLineChars="0"/>
        <w:jc w:val="left"/>
        <w:rPr>
          <w:rFonts w:asciiTheme="minorHAnsi" w:hAnsiTheme="minorHAnsi" w:eastAsiaTheme="majorEastAsia" w:cstheme="minorHAnsi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三、</w:t>
      </w:r>
      <w:r>
        <w:rPr>
          <w:rFonts w:hint="eastAsia" w:cs="Calibri" w:asciiTheme="minorHAnsi" w:hAnsiTheme="minorHAnsi"/>
          <w:b/>
          <w:szCs w:val="21"/>
        </w:rPr>
        <w:t>伦敦国王学院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简介</w:t>
      </w:r>
    </w:p>
    <w:p>
      <w:pPr>
        <w:pStyle w:val="20"/>
        <w:numPr>
          <w:ilvl w:val="0"/>
          <w:numId w:val="2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由英王乔治四世建</w:t>
      </w:r>
      <w:r>
        <w:rPr>
          <w:rFonts w:cs="Calibri" w:asciiTheme="minorHAnsi" w:hAnsiTheme="minorHAnsi"/>
          <w:szCs w:val="21"/>
        </w:rPr>
        <w:t>于</w:t>
      </w:r>
      <w:r>
        <w:rPr>
          <w:rFonts w:hint="eastAsia" w:cs="Calibri" w:asciiTheme="minorHAnsi" w:hAnsiTheme="minorHAnsi"/>
          <w:szCs w:val="21"/>
        </w:rPr>
        <w:t>1829年，是伦敦大学创校学院之一，世界著名研究型学府，</w:t>
      </w:r>
      <w:r>
        <w:rPr>
          <w:rFonts w:ascii="Arial" w:hAnsi="Arial" w:cs="Arial"/>
          <w:color w:val="333333"/>
          <w:kern w:val="0"/>
          <w:szCs w:val="21"/>
        </w:rPr>
        <w:t>与</w:t>
      </w:r>
      <w:r>
        <w:rPr>
          <w:rFonts w:cs="Calibri" w:asciiTheme="minorHAnsi" w:hAnsiTheme="minorHAnsi"/>
          <w:szCs w:val="21"/>
        </w:rPr>
        <w:t>牛津大学、剑桥大学、伦敦大学学院、帝国理工学院、和伦敦政经学院同为英国著名的“金三角名校”</w:t>
      </w:r>
      <w:r>
        <w:rPr>
          <w:rFonts w:hint="eastAsia" w:cs="Calibri" w:asciiTheme="minorHAnsi" w:hAnsiTheme="minorHAnsi"/>
          <w:szCs w:val="21"/>
        </w:rPr>
        <w:t>；</w:t>
      </w:r>
    </w:p>
    <w:p>
      <w:pPr>
        <w:pStyle w:val="20"/>
        <w:numPr>
          <w:ilvl w:val="0"/>
          <w:numId w:val="2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2020年Times世界大学综合排名第36；2020年美国新闻与世界报道全球大学综合排名第37； Q</w:t>
      </w:r>
      <w:r>
        <w:rPr>
          <w:rFonts w:cs="Calibri" w:asciiTheme="minorHAnsi" w:hAnsiTheme="minorHAnsi"/>
          <w:szCs w:val="21"/>
        </w:rPr>
        <w:t xml:space="preserve">S </w:t>
      </w:r>
      <w:r>
        <w:rPr>
          <w:rFonts w:hint="eastAsia" w:cs="Calibri" w:asciiTheme="minorHAnsi" w:hAnsiTheme="minorHAnsi"/>
          <w:szCs w:val="21"/>
        </w:rPr>
        <w:t>2020年世界大学排名第33；2019年</w:t>
      </w:r>
      <w:r>
        <w:rPr>
          <w:rFonts w:cs="Calibri" w:asciiTheme="minorHAnsi" w:hAnsiTheme="minorHAnsi"/>
          <w:szCs w:val="21"/>
        </w:rPr>
        <w:t>上海交大世界大学学术排名（ARWU）位居第</w:t>
      </w:r>
      <w:r>
        <w:rPr>
          <w:rFonts w:hint="eastAsia" w:cs="Calibri" w:asciiTheme="minorHAnsi" w:hAnsiTheme="minorHAnsi"/>
          <w:szCs w:val="21"/>
        </w:rPr>
        <w:t>51；</w:t>
      </w:r>
    </w:p>
    <w:p>
      <w:pPr>
        <w:pStyle w:val="20"/>
        <w:numPr>
          <w:ilvl w:val="0"/>
          <w:numId w:val="2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下设9所学院，学生人数超过3万1千人，强势学科包括</w:t>
      </w:r>
      <w:r>
        <w:rPr>
          <w:rFonts w:cs="Calibri" w:asciiTheme="minorHAnsi" w:hAnsiTheme="minorHAnsi"/>
          <w:szCs w:val="21"/>
        </w:rPr>
        <w:t>人文</w:t>
      </w:r>
      <w:r>
        <w:rPr>
          <w:rFonts w:hint="eastAsia" w:cs="Calibri" w:asciiTheme="minorHAnsi" w:hAnsiTheme="minorHAnsi"/>
          <w:szCs w:val="21"/>
        </w:rPr>
        <w:t>、</w:t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>法律</w:t>
      </w:r>
      <w:r>
        <w:rPr>
          <w:rFonts w:ascii="Arial" w:hAnsi="Arial" w:cs="Arial"/>
          <w:color w:val="333333"/>
          <w:szCs w:val="21"/>
          <w:shd w:val="clear" w:color="auto" w:fill="FFFFFF"/>
        </w:rPr>
        <w:t>、</w:t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>生物科学</w:t>
      </w:r>
      <w:r>
        <w:rPr>
          <w:rFonts w:ascii="Arial" w:hAnsi="Arial" w:cs="Arial"/>
          <w:color w:val="333333"/>
          <w:szCs w:val="21"/>
          <w:shd w:val="clear" w:color="auto" w:fill="FFFFFF"/>
        </w:rPr>
        <w:t>、医学、</w:t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>心理学、社会科学、</w:t>
      </w:r>
      <w:r>
        <w:rPr>
          <w:rFonts w:ascii="Arial" w:hAnsi="Arial" w:cs="Arial"/>
          <w:color w:val="333333"/>
          <w:szCs w:val="21"/>
          <w:shd w:val="clear" w:color="auto" w:fill="FFFFFF"/>
        </w:rPr>
        <w:t>商科等</w:t>
      </w:r>
      <w:r>
        <w:rPr>
          <w:rFonts w:hint="eastAsia" w:asciiTheme="minorHAnsi" w:hAnsiTheme="minorHAnsi" w:eastAsiaTheme="majorEastAsia" w:cstheme="minorHAnsi"/>
          <w:szCs w:val="21"/>
        </w:rPr>
        <w:t>；K</w:t>
      </w:r>
      <w:r>
        <w:rPr>
          <w:rFonts w:asciiTheme="minorHAnsi" w:hAnsiTheme="minorHAnsi" w:eastAsiaTheme="majorEastAsia" w:cstheme="minorHAnsi"/>
          <w:szCs w:val="21"/>
        </w:rPr>
        <w:t>CL</w:t>
      </w:r>
      <w:r>
        <w:rPr>
          <w:rFonts w:hint="eastAsia" w:asciiTheme="minorHAnsi" w:hAnsiTheme="minorHAnsi" w:eastAsiaTheme="majorEastAsia" w:cstheme="minorHAnsi"/>
          <w:szCs w:val="21"/>
        </w:rPr>
        <w:t>的</w:t>
      </w:r>
      <w:r>
        <w:rPr>
          <w:rFonts w:ascii="Arial" w:hAnsi="Arial" w:cs="Arial"/>
          <w:color w:val="333333"/>
          <w:kern w:val="0"/>
          <w:szCs w:val="21"/>
        </w:rPr>
        <w:t>校友及教员中共诞生了</w:t>
      </w:r>
      <w:r>
        <w:rPr>
          <w:rFonts w:cs="Calibri" w:asciiTheme="minorHAnsi" w:hAnsiTheme="minorHAnsi"/>
          <w:szCs w:val="21"/>
        </w:rPr>
        <w:t>12位诺贝尔奖得主，16位政府或国家首脑、34位英国现任国会议员</w:t>
      </w:r>
      <w:r>
        <w:rPr>
          <w:rFonts w:hint="eastAsia" w:cs="Calibri" w:asciiTheme="minorHAnsi" w:hAnsiTheme="minorHAnsi"/>
          <w:szCs w:val="21"/>
        </w:rPr>
        <w:t>；</w:t>
      </w:r>
    </w:p>
    <w:p>
      <w:pPr>
        <w:pStyle w:val="20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学校</w:t>
      </w:r>
      <w:r>
        <w:rPr>
          <w:rFonts w:asciiTheme="minorHAnsi" w:hAnsiTheme="minorHAnsi" w:cstheme="minorHAnsi"/>
          <w:kern w:val="0"/>
          <w:szCs w:val="21"/>
        </w:rPr>
        <w:t>位</w:t>
      </w:r>
      <w:r>
        <w:rPr>
          <w:rFonts w:cs="Calibri" w:asciiTheme="minorHAnsi" w:hAnsiTheme="minorHAnsi"/>
          <w:szCs w:val="21"/>
        </w:rPr>
        <w:t>于英国首都伦敦市中心，地理位置优越</w:t>
      </w:r>
      <w:r>
        <w:rPr>
          <w:rFonts w:hint="eastAsia" w:cs="Calibri" w:asciiTheme="minorHAnsi" w:hAnsiTheme="minorHAnsi"/>
          <w:szCs w:val="21"/>
        </w:rPr>
        <w:t>，</w:t>
      </w:r>
      <w:r>
        <w:rPr>
          <w:rFonts w:cs="Calibri" w:asciiTheme="minorHAnsi" w:hAnsiTheme="minorHAnsi"/>
          <w:szCs w:val="21"/>
        </w:rPr>
        <w:t>比邻</w:t>
      </w:r>
      <w:r>
        <w:rPr>
          <w:rFonts w:hint="eastAsia" w:cs="Calibri" w:asciiTheme="minorHAnsi" w:hAnsiTheme="minorHAnsi"/>
          <w:szCs w:val="21"/>
        </w:rPr>
        <w:t>国会</w:t>
      </w:r>
      <w:r>
        <w:rPr>
          <w:rFonts w:cs="Calibri" w:asciiTheme="minorHAnsi" w:hAnsiTheme="minorHAnsi"/>
          <w:szCs w:val="21"/>
        </w:rPr>
        <w:t>大厦</w:t>
      </w:r>
      <w:r>
        <w:rPr>
          <w:rFonts w:hint="eastAsia" w:cs="Calibri" w:asciiTheme="minorHAnsi" w:hAnsiTheme="minorHAnsi"/>
          <w:szCs w:val="21"/>
        </w:rPr>
        <w:t>、</w:t>
      </w:r>
      <w:r>
        <w:rPr>
          <w:rFonts w:cs="Calibri" w:asciiTheme="minorHAnsi" w:hAnsiTheme="minorHAnsi"/>
          <w:szCs w:val="21"/>
        </w:rPr>
        <w:t>大英博物馆</w:t>
      </w:r>
      <w:r>
        <w:rPr>
          <w:rFonts w:hint="eastAsia" w:cs="Calibri" w:asciiTheme="minorHAnsi" w:hAnsiTheme="minorHAnsi"/>
          <w:szCs w:val="21"/>
        </w:rPr>
        <w:t>、</w:t>
      </w:r>
      <w:r>
        <w:rPr>
          <w:rFonts w:cs="Calibri" w:asciiTheme="minorHAnsi" w:hAnsiTheme="minorHAnsi"/>
          <w:szCs w:val="21"/>
        </w:rPr>
        <w:t>特拉法加广场等地标建筑。</w:t>
      </w:r>
    </w:p>
    <w:p>
      <w:pPr>
        <w:spacing w:line="360" w:lineRule="auto"/>
        <w:rPr>
          <w:rFonts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szCs w:val="21"/>
        </w:rPr>
      </w:pPr>
      <w:r>
        <w:rPr>
          <w:rFonts w:hint="eastAsia" w:asciiTheme="minorHAnsi" w:hAnsiTheme="minorHAnsi" w:eastAsiaTheme="majorEastAsia" w:cstheme="minorHAnsi"/>
          <w:b/>
          <w:szCs w:val="21"/>
        </w:rPr>
        <w:t>三、</w:t>
      </w:r>
      <w:r>
        <w:rPr>
          <w:rFonts w:asciiTheme="minorHAnsi" w:hAnsiTheme="minorHAnsi" w:eastAsiaTheme="majorEastAsia" w:cstheme="minorHAnsi"/>
          <w:b/>
          <w:szCs w:val="21"/>
        </w:rPr>
        <w:t>访学</w:t>
      </w:r>
      <w:r>
        <w:rPr>
          <w:rFonts w:hint="eastAsia" w:asciiTheme="minorHAnsi" w:hAnsiTheme="minorHAnsi" w:eastAsiaTheme="majorEastAsia" w:cstheme="minorHAnsi"/>
          <w:b/>
          <w:szCs w:val="21"/>
        </w:rPr>
        <w:t>项目介绍</w:t>
      </w:r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课程日期</w:t>
      </w:r>
      <w:r>
        <w:rPr>
          <w:rFonts w:cs="Calibri" w:asciiTheme="minorHAnsi" w:hAnsiTheme="minorHAnsi"/>
          <w:szCs w:val="21"/>
        </w:rPr>
        <w:t>】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第一期：</w:t>
      </w:r>
      <w:r>
        <w:rPr>
          <w:rFonts w:asciiTheme="minorHAnsi" w:hAnsiTheme="minorHAnsi" w:eastAsiaTheme="majorEastAsia" w:cstheme="minorHAnsi"/>
          <w:szCs w:val="21"/>
        </w:rPr>
        <w:t>20</w:t>
      </w:r>
      <w:r>
        <w:rPr>
          <w:rFonts w:hint="eastAsia" w:asciiTheme="minorHAnsi" w:hAnsiTheme="minorHAnsi" w:eastAsiaTheme="majorEastAsia" w:cstheme="minorHAnsi"/>
          <w:szCs w:val="21"/>
        </w:rPr>
        <w:t>20</w:t>
      </w:r>
      <w:r>
        <w:rPr>
          <w:rFonts w:asciiTheme="minorHAnsi" w:hAnsiTheme="minorHAnsi" w:eastAsiaTheme="majorEastAsia" w:cstheme="minorHAnsi"/>
          <w:szCs w:val="21"/>
        </w:rPr>
        <w:t>年</w:t>
      </w:r>
      <w:r>
        <w:rPr>
          <w:rFonts w:hint="eastAsia" w:asciiTheme="minorHAnsi" w:hAnsiTheme="minorHAnsi" w:eastAsiaTheme="majorEastAsia" w:cstheme="minorHAnsi"/>
          <w:szCs w:val="21"/>
        </w:rPr>
        <w:t>6</w:t>
      </w:r>
      <w:r>
        <w:rPr>
          <w:rFonts w:asciiTheme="minorHAnsi" w:hAnsiTheme="minorHAnsi" w:eastAsiaTheme="majorEastAsia" w:cstheme="minorHAnsi"/>
          <w:szCs w:val="21"/>
        </w:rPr>
        <w:t>月</w:t>
      </w:r>
      <w:r>
        <w:rPr>
          <w:rFonts w:hint="eastAsia" w:asciiTheme="minorHAnsi" w:hAnsiTheme="minorHAnsi" w:eastAsiaTheme="majorEastAsia" w:cstheme="minorHAnsi"/>
          <w:szCs w:val="21"/>
        </w:rPr>
        <w:t>29</w:t>
      </w:r>
      <w:r>
        <w:rPr>
          <w:rFonts w:asciiTheme="minorHAnsi" w:hAnsiTheme="minorHAnsi" w:eastAsiaTheme="majorEastAsia" w:cstheme="minorHAnsi"/>
          <w:szCs w:val="21"/>
        </w:rPr>
        <w:t>日 –</w:t>
      </w:r>
      <w:r>
        <w:rPr>
          <w:rFonts w:hint="eastAsia" w:asciiTheme="minorHAnsi" w:hAnsiTheme="minorHAnsi" w:eastAsiaTheme="majorEastAsia" w:cstheme="minorHAnsi"/>
          <w:szCs w:val="21"/>
        </w:rPr>
        <w:t xml:space="preserve"> 7</w:t>
      </w:r>
      <w:r>
        <w:rPr>
          <w:rFonts w:asciiTheme="minorHAnsi" w:hAnsiTheme="minorHAnsi" w:eastAsiaTheme="majorEastAsia" w:cstheme="minorHAnsi"/>
          <w:szCs w:val="21"/>
        </w:rPr>
        <w:t>月</w:t>
      </w:r>
      <w:r>
        <w:rPr>
          <w:rFonts w:hint="eastAsia" w:asciiTheme="minorHAnsi" w:hAnsiTheme="minorHAnsi" w:eastAsiaTheme="majorEastAsia" w:cstheme="minorHAnsi"/>
          <w:szCs w:val="21"/>
        </w:rPr>
        <w:t>17</w:t>
      </w:r>
      <w:r>
        <w:rPr>
          <w:rFonts w:asciiTheme="minorHAnsi" w:hAnsiTheme="minorHAnsi" w:eastAsiaTheme="majorEastAsia" w:cstheme="minorHAnsi"/>
          <w:szCs w:val="21"/>
        </w:rPr>
        <w:t>日（</w:t>
      </w:r>
      <w:r>
        <w:rPr>
          <w:rFonts w:hint="eastAsia" w:asciiTheme="minorHAnsi" w:hAnsiTheme="minorHAnsi" w:eastAsiaTheme="majorEastAsia" w:cstheme="minorHAnsi"/>
          <w:szCs w:val="21"/>
        </w:rPr>
        <w:t>3</w:t>
      </w:r>
      <w:r>
        <w:rPr>
          <w:rFonts w:asciiTheme="minorHAnsi" w:hAnsiTheme="minorHAnsi" w:eastAsiaTheme="majorEastAsia" w:cstheme="minorHAnsi"/>
          <w:szCs w:val="21"/>
        </w:rPr>
        <w:t>周）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 xml:space="preserve">第二期：2020年7月20日 </w:t>
      </w:r>
      <w:r>
        <w:rPr>
          <w:rFonts w:asciiTheme="minorHAnsi" w:hAnsiTheme="minorHAnsi" w:eastAsiaTheme="majorEastAsia" w:cstheme="minorHAnsi"/>
          <w:szCs w:val="21"/>
        </w:rPr>
        <w:t>–</w:t>
      </w:r>
      <w:r>
        <w:rPr>
          <w:rFonts w:hint="eastAsia" w:asciiTheme="minorHAnsi" w:hAnsiTheme="minorHAnsi" w:eastAsiaTheme="majorEastAsia" w:cstheme="minorHAnsi"/>
          <w:szCs w:val="21"/>
        </w:rPr>
        <w:t xml:space="preserve"> 8月7日（3周）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</w:p>
    <w:p>
      <w:pPr>
        <w:spacing w:line="360" w:lineRule="auto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课程内容</w:t>
      </w:r>
      <w:r>
        <w:rPr>
          <w:rFonts w:cs="Calibri" w:asciiTheme="minorHAnsi" w:hAnsiTheme="minorHAnsi"/>
          <w:szCs w:val="21"/>
        </w:rPr>
        <w:t>】</w:t>
      </w:r>
    </w:p>
    <w:p>
      <w:pPr>
        <w:widowControl/>
        <w:spacing w:line="360" w:lineRule="auto"/>
        <w:ind w:left="420" w:leftChars="20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K</w:t>
      </w:r>
      <w:r>
        <w:rPr>
          <w:rFonts w:cs="Calibri" w:asciiTheme="minorHAnsi" w:hAnsiTheme="minorHAnsi"/>
          <w:szCs w:val="21"/>
        </w:rPr>
        <w:t>CL</w:t>
      </w:r>
      <w:r>
        <w:rPr>
          <w:rFonts w:hint="eastAsia" w:cs="Calibri" w:asciiTheme="minorHAnsi" w:hAnsiTheme="minorHAnsi"/>
          <w:szCs w:val="21"/>
        </w:rPr>
        <w:t>的暑期课程为期三周，包含至少45小时的教学时间，授课形式有小组讨论、</w:t>
      </w:r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嘉宾讲座、实地参观等多元形式，学生能够充分体验英国顶级高校的浓厚学术氛围，同时结交来自世界各地的同学。</w:t>
      </w:r>
    </w:p>
    <w:p>
      <w:pPr>
        <w:widowControl/>
        <w:spacing w:line="360" w:lineRule="auto"/>
        <w:ind w:left="442" w:hanging="442" w:hangingChars="200"/>
        <w:jc w:val="left"/>
        <w:rPr>
          <w:rFonts w:cs="Calibri" w:asciiTheme="minorHAnsi" w:hAnsiTheme="minorHAnsi"/>
          <w:b/>
          <w:sz w:val="22"/>
          <w:szCs w:val="22"/>
        </w:rPr>
      </w:pPr>
    </w:p>
    <w:p>
      <w:pPr>
        <w:widowControl/>
        <w:spacing w:line="360" w:lineRule="auto"/>
        <w:ind w:left="422" w:hanging="422" w:hangingChars="20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b/>
          <w:szCs w:val="21"/>
        </w:rPr>
        <w:t>可选课程列表如下</w:t>
      </w:r>
      <w:r>
        <w:rPr>
          <w:rFonts w:hint="eastAsia" w:cs="Calibri" w:asciiTheme="minorHAnsi" w:hAnsiTheme="minorHAnsi"/>
          <w:szCs w:val="21"/>
        </w:rPr>
        <w:t>：</w:t>
      </w:r>
    </w:p>
    <w:tbl>
      <w:tblPr>
        <w:tblStyle w:val="11"/>
        <w:tblW w:w="0" w:type="auto"/>
        <w:tblInd w:w="4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8"/>
        <w:gridCol w:w="3544"/>
        <w:gridCol w:w="29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398" w:type="dxa"/>
          </w:tcPr>
          <w:p>
            <w:pPr>
              <w:widowControl/>
              <w:spacing w:line="360" w:lineRule="auto"/>
              <w:jc w:val="center"/>
              <w:rPr>
                <w:rFonts w:cs="Calibri" w:asciiTheme="minorHAnsi" w:hAnsiTheme="minorHAnsi"/>
                <w:b/>
                <w:bCs/>
                <w:szCs w:val="21"/>
              </w:rPr>
            </w:pPr>
            <w:r>
              <w:rPr>
                <w:rFonts w:hint="eastAsia" w:cs="Calibri" w:asciiTheme="minorHAnsi" w:hAnsiTheme="minorHAnsi"/>
                <w:b/>
                <w:bCs/>
                <w:szCs w:val="21"/>
              </w:rPr>
              <w:t>主题领域</w:t>
            </w:r>
          </w:p>
        </w:tc>
        <w:tc>
          <w:tcPr>
            <w:tcW w:w="3544" w:type="dxa"/>
          </w:tcPr>
          <w:p>
            <w:pPr>
              <w:widowControl/>
              <w:spacing w:line="360" w:lineRule="auto"/>
              <w:jc w:val="center"/>
              <w:rPr>
                <w:rFonts w:cs="Calibri" w:asciiTheme="minorHAnsi" w:hAnsiTheme="minorHAnsi"/>
                <w:b/>
                <w:bCs/>
                <w:szCs w:val="21"/>
              </w:rPr>
            </w:pPr>
            <w:r>
              <w:rPr>
                <w:rFonts w:hint="eastAsia" w:cs="Calibri" w:asciiTheme="minorHAnsi" w:hAnsiTheme="minorHAnsi"/>
                <w:b/>
                <w:bCs/>
                <w:szCs w:val="21"/>
              </w:rPr>
              <w:t>第一期</w:t>
            </w:r>
          </w:p>
        </w:tc>
        <w:tc>
          <w:tcPr>
            <w:tcW w:w="2914" w:type="dxa"/>
          </w:tcPr>
          <w:p>
            <w:pPr>
              <w:widowControl/>
              <w:spacing w:line="360" w:lineRule="auto"/>
              <w:jc w:val="center"/>
              <w:rPr>
                <w:rFonts w:cs="Calibri" w:asciiTheme="minorHAnsi" w:hAnsiTheme="minorHAnsi"/>
                <w:b/>
                <w:bCs/>
                <w:szCs w:val="21"/>
              </w:rPr>
            </w:pPr>
            <w:r>
              <w:rPr>
                <w:rFonts w:hint="eastAsia" w:cs="Calibri" w:asciiTheme="minorHAnsi" w:hAnsiTheme="minorHAnsi"/>
                <w:b/>
                <w:bCs/>
                <w:szCs w:val="21"/>
              </w:rPr>
              <w:t>第二期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8" w:type="dxa"/>
          </w:tcPr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艺术与人文</w:t>
            </w:r>
          </w:p>
        </w:tc>
        <w:tc>
          <w:tcPr>
            <w:tcW w:w="3544" w:type="dxa"/>
          </w:tcPr>
          <w:p>
            <w:pPr>
              <w:pStyle w:val="20"/>
              <w:widowControl/>
              <w:numPr>
                <w:ilvl w:val="0"/>
                <w:numId w:val="3"/>
              </w:numPr>
              <w:spacing w:line="360" w:lineRule="auto"/>
              <w:ind w:firstLineChars="0"/>
              <w:jc w:val="left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伦敦与电影</w:t>
            </w:r>
          </w:p>
          <w:p>
            <w:pPr>
              <w:pStyle w:val="20"/>
              <w:widowControl/>
              <w:numPr>
                <w:ilvl w:val="0"/>
                <w:numId w:val="3"/>
              </w:numPr>
              <w:spacing w:line="360" w:lineRule="auto"/>
              <w:ind w:firstLineChars="0"/>
              <w:jc w:val="left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伦敦的博物馆：城市策展</w:t>
            </w:r>
          </w:p>
          <w:p>
            <w:pPr>
              <w:pStyle w:val="20"/>
              <w:widowControl/>
              <w:numPr>
                <w:ilvl w:val="0"/>
                <w:numId w:val="3"/>
              </w:numPr>
              <w:spacing w:line="360" w:lineRule="auto"/>
              <w:ind w:firstLineChars="0"/>
              <w:jc w:val="left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童话仙境：百年儿童文学</w:t>
            </w:r>
          </w:p>
        </w:tc>
        <w:tc>
          <w:tcPr>
            <w:tcW w:w="2914" w:type="dxa"/>
          </w:tcPr>
          <w:p>
            <w:pPr>
              <w:pStyle w:val="20"/>
              <w:widowControl/>
              <w:numPr>
                <w:ilvl w:val="0"/>
                <w:numId w:val="3"/>
              </w:numPr>
              <w:spacing w:line="360" w:lineRule="auto"/>
              <w:ind w:firstLineChars="0"/>
              <w:jc w:val="left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伦敦与电影</w:t>
            </w:r>
          </w:p>
          <w:p>
            <w:pPr>
              <w:pStyle w:val="20"/>
              <w:widowControl/>
              <w:numPr>
                <w:ilvl w:val="0"/>
                <w:numId w:val="3"/>
              </w:numPr>
              <w:spacing w:line="360" w:lineRule="auto"/>
              <w:ind w:firstLineChars="0"/>
              <w:jc w:val="left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媒体、性别与文化</w:t>
            </w:r>
          </w:p>
          <w:p>
            <w:pPr>
              <w:pStyle w:val="20"/>
              <w:widowControl/>
              <w:numPr>
                <w:ilvl w:val="0"/>
                <w:numId w:val="3"/>
              </w:numPr>
              <w:spacing w:line="360" w:lineRule="auto"/>
              <w:ind w:firstLineChars="0"/>
              <w:jc w:val="left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伦敦的剧院</w:t>
            </w:r>
          </w:p>
          <w:p>
            <w:pPr>
              <w:pStyle w:val="20"/>
              <w:widowControl/>
              <w:numPr>
                <w:ilvl w:val="0"/>
                <w:numId w:val="3"/>
              </w:numPr>
              <w:spacing w:line="360" w:lineRule="auto"/>
              <w:ind w:firstLineChars="0"/>
              <w:jc w:val="left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伦敦城市文学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8" w:type="dxa"/>
          </w:tcPr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社会科学与公共政策</w:t>
            </w:r>
          </w:p>
        </w:tc>
        <w:tc>
          <w:tcPr>
            <w:tcW w:w="3544" w:type="dxa"/>
          </w:tcPr>
          <w:p>
            <w:pPr>
              <w:pStyle w:val="20"/>
              <w:widowControl/>
              <w:numPr>
                <w:ilvl w:val="0"/>
                <w:numId w:val="3"/>
              </w:numPr>
              <w:spacing w:line="360" w:lineRule="auto"/>
              <w:ind w:firstLineChars="0"/>
              <w:jc w:val="left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全球健康与社会公正</w:t>
            </w:r>
          </w:p>
          <w:p>
            <w:pPr>
              <w:pStyle w:val="20"/>
              <w:widowControl/>
              <w:numPr>
                <w:ilvl w:val="0"/>
                <w:numId w:val="3"/>
              </w:numPr>
              <w:spacing w:line="360" w:lineRule="auto"/>
              <w:ind w:firstLineChars="0"/>
              <w:jc w:val="left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政治与传媒</w:t>
            </w:r>
          </w:p>
          <w:p>
            <w:pPr>
              <w:pStyle w:val="20"/>
              <w:widowControl/>
              <w:numPr>
                <w:ilvl w:val="0"/>
                <w:numId w:val="3"/>
              </w:numPr>
              <w:spacing w:line="360" w:lineRule="auto"/>
              <w:ind w:firstLineChars="0"/>
              <w:jc w:val="left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秘密与间谍：现代间谍活动与情报</w:t>
            </w:r>
          </w:p>
          <w:p>
            <w:pPr>
              <w:pStyle w:val="20"/>
              <w:widowControl/>
              <w:numPr>
                <w:ilvl w:val="0"/>
                <w:numId w:val="3"/>
              </w:numPr>
              <w:spacing w:line="360" w:lineRule="auto"/>
              <w:ind w:firstLineChars="0"/>
              <w:jc w:val="left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战争与外交</w:t>
            </w:r>
          </w:p>
        </w:tc>
        <w:tc>
          <w:tcPr>
            <w:tcW w:w="2914" w:type="dxa"/>
          </w:tcPr>
          <w:p>
            <w:pPr>
              <w:pStyle w:val="20"/>
              <w:widowControl/>
              <w:numPr>
                <w:ilvl w:val="0"/>
                <w:numId w:val="3"/>
              </w:numPr>
              <w:spacing w:line="360" w:lineRule="auto"/>
              <w:ind w:firstLineChars="0"/>
              <w:jc w:val="left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秘密与间谍：现代间谍活动与情报</w:t>
            </w:r>
          </w:p>
          <w:p>
            <w:pPr>
              <w:pStyle w:val="20"/>
              <w:widowControl/>
              <w:numPr>
                <w:ilvl w:val="0"/>
                <w:numId w:val="3"/>
              </w:numPr>
              <w:spacing w:line="360" w:lineRule="auto"/>
              <w:ind w:firstLineChars="0"/>
              <w:jc w:val="left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恐怖主义与国家安全</w:t>
            </w:r>
          </w:p>
          <w:p>
            <w:pPr>
              <w:pStyle w:val="20"/>
              <w:widowControl/>
              <w:numPr>
                <w:ilvl w:val="0"/>
                <w:numId w:val="3"/>
              </w:numPr>
              <w:spacing w:line="360" w:lineRule="auto"/>
              <w:ind w:firstLineChars="0"/>
              <w:jc w:val="left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国际关系</w:t>
            </w:r>
          </w:p>
          <w:p>
            <w:pPr>
              <w:pStyle w:val="20"/>
              <w:widowControl/>
              <w:numPr>
                <w:ilvl w:val="0"/>
                <w:numId w:val="3"/>
              </w:numPr>
              <w:spacing w:line="360" w:lineRule="auto"/>
              <w:ind w:firstLineChars="0"/>
              <w:jc w:val="left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全球领导力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8" w:type="dxa"/>
          </w:tcPr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病理学、心理学</w:t>
            </w:r>
          </w:p>
        </w:tc>
        <w:tc>
          <w:tcPr>
            <w:tcW w:w="3544" w:type="dxa"/>
          </w:tcPr>
          <w:p>
            <w:pPr>
              <w:pStyle w:val="20"/>
              <w:widowControl/>
              <w:numPr>
                <w:ilvl w:val="0"/>
                <w:numId w:val="4"/>
              </w:numPr>
              <w:spacing w:line="360" w:lineRule="auto"/>
              <w:ind w:firstLineChars="0"/>
              <w:jc w:val="left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心理学：意识与身体</w:t>
            </w:r>
          </w:p>
        </w:tc>
        <w:tc>
          <w:tcPr>
            <w:tcW w:w="2914" w:type="dxa"/>
          </w:tcPr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8" w:type="dxa"/>
          </w:tcPr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生命科学与医学</w:t>
            </w:r>
          </w:p>
        </w:tc>
        <w:tc>
          <w:tcPr>
            <w:tcW w:w="3544" w:type="dxa"/>
          </w:tcPr>
          <w:p>
            <w:pPr>
              <w:pStyle w:val="20"/>
              <w:widowControl/>
              <w:numPr>
                <w:ilvl w:val="0"/>
                <w:numId w:val="4"/>
              </w:numPr>
              <w:spacing w:line="360" w:lineRule="auto"/>
              <w:ind w:firstLineChars="0"/>
              <w:jc w:val="left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药物发现</w:t>
            </w:r>
          </w:p>
          <w:p>
            <w:pPr>
              <w:pStyle w:val="20"/>
              <w:widowControl/>
              <w:numPr>
                <w:ilvl w:val="0"/>
                <w:numId w:val="4"/>
              </w:numPr>
              <w:spacing w:line="360" w:lineRule="auto"/>
              <w:ind w:firstLineChars="0"/>
              <w:jc w:val="left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人体解剖学与生理学</w:t>
            </w:r>
          </w:p>
          <w:p>
            <w:pPr>
              <w:pStyle w:val="20"/>
              <w:widowControl/>
              <w:numPr>
                <w:ilvl w:val="0"/>
                <w:numId w:val="4"/>
              </w:numPr>
              <w:spacing w:line="360" w:lineRule="auto"/>
              <w:ind w:firstLineChars="0"/>
              <w:jc w:val="left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健康与社会</w:t>
            </w:r>
          </w:p>
          <w:p>
            <w:pPr>
              <w:pStyle w:val="20"/>
              <w:widowControl/>
              <w:numPr>
                <w:ilvl w:val="0"/>
                <w:numId w:val="4"/>
              </w:numPr>
              <w:spacing w:line="360" w:lineRule="auto"/>
              <w:ind w:firstLineChars="0"/>
              <w:jc w:val="left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生物信息学入门</w:t>
            </w:r>
          </w:p>
          <w:p>
            <w:pPr>
              <w:pStyle w:val="20"/>
              <w:widowControl/>
              <w:numPr>
                <w:ilvl w:val="0"/>
                <w:numId w:val="4"/>
              </w:numPr>
              <w:spacing w:line="360" w:lineRule="auto"/>
              <w:ind w:firstLineChars="0"/>
              <w:jc w:val="left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应用数学</w:t>
            </w:r>
          </w:p>
          <w:p>
            <w:pPr>
              <w:pStyle w:val="20"/>
              <w:widowControl/>
              <w:numPr>
                <w:ilvl w:val="0"/>
                <w:numId w:val="4"/>
              </w:numPr>
              <w:spacing w:line="360" w:lineRule="auto"/>
              <w:ind w:firstLineChars="0"/>
              <w:jc w:val="left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妇女儿童健康</w:t>
            </w:r>
          </w:p>
        </w:tc>
        <w:tc>
          <w:tcPr>
            <w:tcW w:w="2914" w:type="dxa"/>
          </w:tcPr>
          <w:p>
            <w:pPr>
              <w:pStyle w:val="20"/>
              <w:widowControl/>
              <w:numPr>
                <w:ilvl w:val="0"/>
                <w:numId w:val="4"/>
              </w:numPr>
              <w:spacing w:line="360" w:lineRule="auto"/>
              <w:ind w:firstLineChars="0"/>
              <w:jc w:val="left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3</w:t>
            </w:r>
            <w:r>
              <w:rPr>
                <w:rFonts w:cs="Calibri" w:asciiTheme="minorHAnsi" w:hAnsiTheme="minorHAnsi"/>
                <w:szCs w:val="21"/>
              </w:rPr>
              <w:t>D</w:t>
            </w:r>
            <w:r>
              <w:rPr>
                <w:rFonts w:hint="eastAsia" w:cs="Calibri" w:asciiTheme="minorHAnsi" w:hAnsiTheme="minorHAnsi"/>
                <w:szCs w:val="21"/>
              </w:rPr>
              <w:t>打印</w:t>
            </w:r>
          </w:p>
          <w:p>
            <w:pPr>
              <w:pStyle w:val="20"/>
              <w:widowControl/>
              <w:numPr>
                <w:ilvl w:val="0"/>
                <w:numId w:val="4"/>
              </w:numPr>
              <w:spacing w:line="360" w:lineRule="auto"/>
              <w:ind w:firstLineChars="0"/>
              <w:jc w:val="left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医疗健康与技术</w:t>
            </w:r>
          </w:p>
          <w:p>
            <w:pPr>
              <w:pStyle w:val="20"/>
              <w:widowControl/>
              <w:numPr>
                <w:ilvl w:val="0"/>
                <w:numId w:val="4"/>
              </w:numPr>
              <w:spacing w:line="360" w:lineRule="auto"/>
              <w:ind w:firstLineChars="0"/>
              <w:jc w:val="left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人工智能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8" w:type="dxa"/>
          </w:tcPr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自然科学、数学</w:t>
            </w:r>
          </w:p>
        </w:tc>
        <w:tc>
          <w:tcPr>
            <w:tcW w:w="3544" w:type="dxa"/>
          </w:tcPr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szCs w:val="21"/>
              </w:rPr>
            </w:pPr>
          </w:p>
        </w:tc>
        <w:tc>
          <w:tcPr>
            <w:tcW w:w="2914" w:type="dxa"/>
          </w:tcPr>
          <w:p>
            <w:pPr>
              <w:pStyle w:val="20"/>
              <w:widowControl/>
              <w:numPr>
                <w:ilvl w:val="0"/>
                <w:numId w:val="5"/>
              </w:numPr>
              <w:spacing w:line="360" w:lineRule="auto"/>
              <w:ind w:firstLineChars="0"/>
              <w:jc w:val="left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8" w:type="dxa"/>
          </w:tcPr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法律</w:t>
            </w:r>
          </w:p>
        </w:tc>
        <w:tc>
          <w:tcPr>
            <w:tcW w:w="3544" w:type="dxa"/>
          </w:tcPr>
          <w:p>
            <w:pPr>
              <w:pStyle w:val="20"/>
              <w:widowControl/>
              <w:numPr>
                <w:ilvl w:val="0"/>
                <w:numId w:val="5"/>
              </w:numPr>
              <w:spacing w:line="360" w:lineRule="auto"/>
              <w:ind w:firstLineChars="0"/>
              <w:jc w:val="left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国际商法</w:t>
            </w:r>
          </w:p>
          <w:p>
            <w:pPr>
              <w:pStyle w:val="20"/>
              <w:widowControl/>
              <w:numPr>
                <w:ilvl w:val="0"/>
                <w:numId w:val="5"/>
              </w:numPr>
              <w:spacing w:line="360" w:lineRule="auto"/>
              <w:ind w:firstLineChars="0"/>
              <w:jc w:val="left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国际人权法</w:t>
            </w:r>
          </w:p>
          <w:p>
            <w:pPr>
              <w:pStyle w:val="20"/>
              <w:widowControl/>
              <w:numPr>
                <w:ilvl w:val="0"/>
                <w:numId w:val="5"/>
              </w:numPr>
              <w:spacing w:line="360" w:lineRule="auto"/>
              <w:ind w:firstLineChars="0"/>
              <w:jc w:val="left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理解英美法系</w:t>
            </w:r>
          </w:p>
        </w:tc>
        <w:tc>
          <w:tcPr>
            <w:tcW w:w="2914" w:type="dxa"/>
          </w:tcPr>
          <w:p>
            <w:pPr>
              <w:pStyle w:val="20"/>
              <w:widowControl/>
              <w:numPr>
                <w:ilvl w:val="0"/>
                <w:numId w:val="5"/>
              </w:numPr>
              <w:spacing w:line="360" w:lineRule="auto"/>
              <w:ind w:firstLineChars="0"/>
              <w:jc w:val="left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国际商法</w:t>
            </w:r>
          </w:p>
          <w:p>
            <w:pPr>
              <w:pStyle w:val="20"/>
              <w:widowControl/>
              <w:numPr>
                <w:ilvl w:val="0"/>
                <w:numId w:val="5"/>
              </w:numPr>
              <w:spacing w:line="360" w:lineRule="auto"/>
              <w:ind w:firstLineChars="0"/>
              <w:jc w:val="left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国际人权法</w:t>
            </w:r>
          </w:p>
          <w:p>
            <w:pPr>
              <w:pStyle w:val="20"/>
              <w:widowControl/>
              <w:numPr>
                <w:ilvl w:val="0"/>
                <w:numId w:val="5"/>
              </w:numPr>
              <w:spacing w:line="360" w:lineRule="auto"/>
              <w:ind w:firstLineChars="0"/>
              <w:jc w:val="left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犯罪学与刑事司法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8" w:type="dxa"/>
          </w:tcPr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商科管理</w:t>
            </w:r>
          </w:p>
        </w:tc>
        <w:tc>
          <w:tcPr>
            <w:tcW w:w="3544" w:type="dxa"/>
          </w:tcPr>
          <w:p>
            <w:pPr>
              <w:pStyle w:val="20"/>
              <w:widowControl/>
              <w:numPr>
                <w:ilvl w:val="0"/>
                <w:numId w:val="6"/>
              </w:numPr>
              <w:spacing w:line="360" w:lineRule="auto"/>
              <w:ind w:firstLineChars="0"/>
              <w:jc w:val="left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商业与管理</w:t>
            </w:r>
          </w:p>
        </w:tc>
        <w:tc>
          <w:tcPr>
            <w:tcW w:w="2914" w:type="dxa"/>
          </w:tcPr>
          <w:p>
            <w:pPr>
              <w:pStyle w:val="20"/>
              <w:widowControl/>
              <w:numPr>
                <w:ilvl w:val="0"/>
                <w:numId w:val="6"/>
              </w:numPr>
              <w:spacing w:line="360" w:lineRule="auto"/>
              <w:ind w:firstLineChars="0"/>
              <w:jc w:val="left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商业与管理</w:t>
            </w:r>
          </w:p>
          <w:p>
            <w:pPr>
              <w:pStyle w:val="20"/>
              <w:widowControl/>
              <w:numPr>
                <w:ilvl w:val="0"/>
                <w:numId w:val="6"/>
              </w:numPr>
              <w:spacing w:line="360" w:lineRule="auto"/>
              <w:ind w:firstLineChars="0"/>
              <w:jc w:val="left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金融与金融市场</w:t>
            </w:r>
          </w:p>
          <w:p>
            <w:pPr>
              <w:pStyle w:val="20"/>
              <w:widowControl/>
              <w:numPr>
                <w:ilvl w:val="0"/>
                <w:numId w:val="6"/>
              </w:numPr>
              <w:spacing w:line="360" w:lineRule="auto"/>
              <w:ind w:firstLineChars="0"/>
              <w:jc w:val="left"/>
              <w:rPr>
                <w:rFonts w:cs="Calibri" w:asciiTheme="minorHAnsi" w:hAnsiTheme="minorHAnsi"/>
                <w:szCs w:val="21"/>
              </w:rPr>
            </w:pPr>
            <w:r>
              <w:rPr>
                <w:rFonts w:hint="eastAsia" w:cs="Calibri" w:asciiTheme="minorHAnsi" w:hAnsiTheme="minorHAnsi"/>
                <w:szCs w:val="21"/>
              </w:rPr>
              <w:t>数字化境营销</w:t>
            </w:r>
          </w:p>
        </w:tc>
      </w:tr>
    </w:tbl>
    <w:p>
      <w:pPr>
        <w:spacing w:line="360" w:lineRule="auto"/>
        <w:rPr>
          <w:rFonts w:cs="Calibri" w:asciiTheme="minorHAnsi" w:hAnsiTheme="minorHAnsi"/>
          <w:szCs w:val="21"/>
        </w:rPr>
      </w:pPr>
    </w:p>
    <w:p>
      <w:pPr>
        <w:widowControl/>
        <w:spacing w:line="360" w:lineRule="auto"/>
        <w:ind w:firstLine="42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伦敦国王学院的校园地理位置绝佳，就位于伦敦泰晤士河河畔，</w:t>
      </w:r>
      <w:r>
        <w:rPr>
          <w:rFonts w:hint="eastAsia" w:asciiTheme="minorHAnsi" w:hAnsiTheme="minorHAnsi" w:eastAsiaTheme="majorEastAsia" w:cstheme="minorHAnsi"/>
          <w:szCs w:val="21"/>
        </w:rPr>
        <w:t>项目学生在课余时间可轻松游览伦敦的众多主要景点，体验浓厚的英伦文化。</w:t>
      </w:r>
      <w:r>
        <w:rPr>
          <w:rFonts w:hint="eastAsia" w:cs="Calibri" w:asciiTheme="minorHAnsi" w:hAnsiTheme="minorHAnsi"/>
          <w:szCs w:val="21"/>
        </w:rPr>
        <w:t>参加K</w:t>
      </w:r>
      <w:r>
        <w:rPr>
          <w:rFonts w:cs="Calibri" w:asciiTheme="minorHAnsi" w:hAnsiTheme="minorHAnsi"/>
          <w:szCs w:val="21"/>
        </w:rPr>
        <w:t>CL</w:t>
      </w:r>
      <w:r>
        <w:rPr>
          <w:rFonts w:hint="eastAsia" w:cs="Calibri" w:asciiTheme="minorHAnsi" w:hAnsiTheme="minorHAnsi"/>
          <w:szCs w:val="21"/>
        </w:rPr>
        <w:t>暑期项目的学生均可获得学生证，并按院方相关规定使用相关图书馆、健身中心等校园设施。</w:t>
      </w:r>
    </w:p>
    <w:p>
      <w:pPr>
        <w:spacing w:line="360" w:lineRule="auto"/>
        <w:rPr>
          <w:rFonts w:cs="Calibri" w:asciiTheme="minorHAnsi" w:hAnsiTheme="minorHAnsi"/>
          <w:szCs w:val="21"/>
        </w:rPr>
      </w:pPr>
    </w:p>
    <w:p>
      <w:pPr>
        <w:spacing w:line="360" w:lineRule="auto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项目证书</w:t>
      </w:r>
      <w:r>
        <w:rPr>
          <w:rFonts w:cs="Calibri" w:asciiTheme="minorHAnsi" w:hAnsiTheme="minorHAnsi"/>
          <w:szCs w:val="21"/>
        </w:rPr>
        <w:t>】</w:t>
      </w:r>
    </w:p>
    <w:p>
      <w:pPr>
        <w:spacing w:line="360" w:lineRule="auto"/>
        <w:ind w:firstLine="420" w:firstLineChars="200"/>
        <w:rPr>
          <w:rFonts w:cs="Calibri" w:asciiTheme="minorHAnsi" w:hAnsi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项目由</w:t>
      </w:r>
      <w:r>
        <w:rPr>
          <w:rFonts w:hint="eastAsia" w:cs="Calibri" w:asciiTheme="minorHAnsi" w:hAnsiTheme="minorHAnsi"/>
          <w:szCs w:val="21"/>
        </w:rPr>
        <w:t>伦敦国王学院</w:t>
      </w:r>
      <w:r>
        <w:rPr>
          <w:rFonts w:hint="eastAsia" w:asciiTheme="minorHAnsi" w:hAnsiTheme="minorHAnsi" w:eastAsiaTheme="majorEastAsia" w:cstheme="minorHAnsi"/>
          <w:szCs w:val="21"/>
        </w:rPr>
        <w:t>院进行统一的学术管理与学术考核，顺利完成学习后，学生将获得</w:t>
      </w:r>
      <w:r>
        <w:rPr>
          <w:rFonts w:hint="eastAsia" w:cs="Calibri" w:asciiTheme="minorHAnsi" w:hAnsiTheme="minorHAnsi"/>
          <w:szCs w:val="21"/>
        </w:rPr>
        <w:t>伦敦国王学院</w:t>
      </w:r>
      <w:r>
        <w:rPr>
          <w:rFonts w:hint="eastAsia" w:asciiTheme="minorHAnsi" w:hAnsiTheme="minorHAnsi" w:eastAsiaTheme="majorEastAsia" w:cstheme="minorHAnsi"/>
          <w:szCs w:val="21"/>
        </w:rPr>
        <w:t>院颁发的成绩单与项目证书</w:t>
      </w:r>
      <w:r>
        <w:rPr>
          <w:rFonts w:asciiTheme="minorHAnsi" w:hAnsiTheme="minorHAnsi" w:eastAsiaTheme="majorEastAsia" w:cstheme="minorHAnsi"/>
          <w:szCs w:val="21"/>
        </w:rPr>
        <w:t>。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项目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费用</w:t>
      </w:r>
      <w:r>
        <w:rPr>
          <w:rFonts w:cs="Calibri" w:asciiTheme="minorHAnsi" w:hAnsiTheme="minorHAnsi"/>
          <w:szCs w:val="21"/>
        </w:rPr>
        <w:t>】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65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951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项目总费用</w:t>
            </w:r>
          </w:p>
        </w:tc>
        <w:tc>
          <w:tcPr>
            <w:tcW w:w="6571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约为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3,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974英镑（约合人民币3.46万元）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费用包括：</w:t>
            </w:r>
          </w:p>
        </w:tc>
        <w:tc>
          <w:tcPr>
            <w:tcW w:w="6571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asciiTheme="minorHAnsi" w:hAnsiTheme="minorHAnsi" w:eastAsiaTheme="majorEastAsia" w:cstheme="minorHAnsi"/>
                <w:szCs w:val="21"/>
              </w:rPr>
              <w:t>学费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、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申请费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、住宿费（校内宿舍）、医疗与意外险、接机费用、以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及项目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服务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费用不包括：</w:t>
            </w:r>
          </w:p>
        </w:tc>
        <w:tc>
          <w:tcPr>
            <w:tcW w:w="6571" w:type="dxa"/>
          </w:tcPr>
          <w:p>
            <w:pPr>
              <w:spacing w:line="360" w:lineRule="auto"/>
              <w:rPr>
                <w:rFonts w:hint="eastAsia"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国际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机票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、英国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签证费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、餐费、与个人消费</w:t>
            </w:r>
          </w:p>
        </w:tc>
      </w:tr>
    </w:tbl>
    <w:p>
      <w:pPr>
        <w:spacing w:line="360" w:lineRule="auto"/>
        <w:rPr>
          <w:rFonts w:asciiTheme="minorHAnsi" w:hAnsiTheme="minorHAnsi" w:eastAsiaTheme="majorEastAsia" w:cstheme="minorHAnsi"/>
          <w:szCs w:val="21"/>
        </w:rPr>
      </w:pPr>
    </w:p>
    <w:p>
      <w:pPr>
        <w:spacing w:line="360" w:lineRule="auto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四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、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项目申请</w:t>
      </w:r>
    </w:p>
    <w:p>
      <w:pPr>
        <w:pStyle w:val="20"/>
        <w:numPr>
          <w:ilvl w:val="0"/>
          <w:numId w:val="7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项目名额</w:t>
      </w:r>
    </w:p>
    <w:p>
      <w:pPr>
        <w:widowControl/>
        <w:spacing w:line="360" w:lineRule="auto"/>
        <w:ind w:left="420" w:leftChars="200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20</w:t>
      </w:r>
      <w:r>
        <w:rPr>
          <w:rFonts w:hint="eastAsia" w:cs="Calibri" w:asciiTheme="minorHAnsi" w:hAnsiTheme="minorHAnsi"/>
          <w:szCs w:val="21"/>
        </w:rPr>
        <w:t>20</w:t>
      </w:r>
      <w:r>
        <w:rPr>
          <w:rFonts w:cs="Calibri" w:asciiTheme="minorHAnsi" w:hAnsiTheme="minorHAnsi"/>
          <w:szCs w:val="21"/>
        </w:rPr>
        <w:t>年KCL</w:t>
      </w:r>
      <w:r>
        <w:rPr>
          <w:rFonts w:hint="eastAsia" w:cs="Calibri" w:asciiTheme="minorHAnsi" w:hAnsiTheme="minorHAnsi"/>
          <w:szCs w:val="21"/>
        </w:rPr>
        <w:t>暑期专业学习</w:t>
      </w:r>
      <w:r>
        <w:rPr>
          <w:rFonts w:cs="Calibri" w:asciiTheme="minorHAnsi" w:hAnsiTheme="minorHAnsi"/>
          <w:szCs w:val="21"/>
        </w:rPr>
        <w:t>课程，我校选拔名额为</w:t>
      </w:r>
      <w:r>
        <w:rPr>
          <w:rFonts w:hint="eastAsia" w:cs="Calibri" w:asciiTheme="minorHAnsi" w:hAnsiTheme="minorHAnsi"/>
          <w:szCs w:val="21"/>
          <w:lang w:val="en-US" w:eastAsia="zh-CN"/>
        </w:rPr>
        <w:t>5</w:t>
      </w:r>
      <w:r>
        <w:rPr>
          <w:rFonts w:cs="Calibri" w:asciiTheme="minorHAnsi" w:hAnsiTheme="minorHAnsi"/>
          <w:szCs w:val="21"/>
        </w:rPr>
        <w:t>名</w:t>
      </w:r>
      <w:r>
        <w:rPr>
          <w:rFonts w:hint="eastAsia" w:cs="Calibri" w:asciiTheme="minorHAnsi" w:hAnsiTheme="minorHAnsi"/>
          <w:szCs w:val="21"/>
        </w:rPr>
        <w:t>。</w:t>
      </w:r>
    </w:p>
    <w:p>
      <w:pPr>
        <w:pStyle w:val="20"/>
        <w:widowControl/>
        <w:numPr>
          <w:ilvl w:val="0"/>
          <w:numId w:val="7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项目申请截止日期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：2020年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4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月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30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日</w:t>
      </w:r>
    </w:p>
    <w:p>
      <w:pPr>
        <w:pStyle w:val="20"/>
        <w:widowControl/>
        <w:numPr>
          <w:ilvl w:val="0"/>
          <w:numId w:val="7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选拔要求</w:t>
      </w:r>
    </w:p>
    <w:p>
      <w:pPr>
        <w:pStyle w:val="20"/>
        <w:numPr>
          <w:ilvl w:val="0"/>
          <w:numId w:val="8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仅限本校全日制在校生</w:t>
      </w:r>
      <w:r>
        <w:rPr>
          <w:rFonts w:hint="eastAsia" w:asciiTheme="minorHAnsi" w:hAnsiTheme="minorHAnsi" w:eastAsiaTheme="majorEastAsia" w:cstheme="minorHAnsi"/>
          <w:szCs w:val="21"/>
        </w:rPr>
        <w:t>，</w:t>
      </w:r>
      <w:r>
        <w:rPr>
          <w:rFonts w:asciiTheme="minorHAnsi" w:hAnsiTheme="minorHAnsi" w:eastAsiaTheme="majorEastAsia" w:cstheme="minorHAnsi"/>
          <w:szCs w:val="21"/>
        </w:rPr>
        <w:t>本科和研究生均可申请；成绩优异、道德品质好，在校期间未受过纪律处分，身心健康，能顺利完成在英学习任务；</w:t>
      </w:r>
    </w:p>
    <w:p>
      <w:pPr>
        <w:pStyle w:val="20"/>
        <w:numPr>
          <w:ilvl w:val="0"/>
          <w:numId w:val="8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申请</w:t>
      </w:r>
      <w:r>
        <w:rPr>
          <w:rFonts w:asciiTheme="minorHAnsi" w:hAnsiTheme="minorHAnsi" w:eastAsiaTheme="majorEastAsia" w:cstheme="minorHAnsi"/>
          <w:szCs w:val="21"/>
        </w:rPr>
        <w:t>要求</w:t>
      </w:r>
      <w:r>
        <w:rPr>
          <w:rFonts w:hint="eastAsia" w:asciiTheme="minorHAnsi" w:hAnsiTheme="minorHAnsi" w:eastAsiaTheme="majorEastAsia" w:cstheme="minorHAnsi"/>
          <w:szCs w:val="21"/>
        </w:rPr>
        <w:t>：具备优秀的英语基础，达到托福93分（单项不低于20），或雅思6.5（单项不低于6.0），或大学英语四级550分，或大学英语六级493分；G</w:t>
      </w:r>
      <w:r>
        <w:rPr>
          <w:rFonts w:asciiTheme="minorHAnsi" w:hAnsiTheme="minorHAnsi" w:eastAsiaTheme="majorEastAsia" w:cstheme="minorHAnsi"/>
          <w:szCs w:val="21"/>
        </w:rPr>
        <w:t xml:space="preserve">PA </w:t>
      </w:r>
      <w:r>
        <w:rPr>
          <w:rFonts w:hint="eastAsia" w:asciiTheme="minorHAnsi" w:hAnsiTheme="minorHAnsi" w:eastAsiaTheme="majorEastAsia" w:cstheme="minorHAnsi"/>
          <w:szCs w:val="21"/>
        </w:rPr>
        <w:t>3.2</w:t>
      </w:r>
    </w:p>
    <w:p>
      <w:pPr>
        <w:pStyle w:val="20"/>
        <w:numPr>
          <w:ilvl w:val="0"/>
          <w:numId w:val="8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家庭具有一定经济基础，能够提供访学所需学费及生活费；</w:t>
      </w:r>
    </w:p>
    <w:p>
      <w:pPr>
        <w:pStyle w:val="20"/>
        <w:numPr>
          <w:ilvl w:val="0"/>
          <w:numId w:val="8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通过全美国际教育协会的项目面试、</w:t>
      </w:r>
      <w:r>
        <w:rPr>
          <w:rFonts w:hint="eastAsia" w:asciiTheme="minorHAnsi" w:hAnsiTheme="minorHAnsi" w:eastAsiaTheme="majorEastAsia" w:cstheme="minorHAnsi"/>
          <w:szCs w:val="21"/>
        </w:rPr>
        <w:t>；伦敦政治经济学院</w:t>
      </w:r>
      <w:r>
        <w:rPr>
          <w:rFonts w:asciiTheme="minorHAnsi" w:hAnsiTheme="minorHAnsi" w:eastAsiaTheme="majorEastAsia" w:cstheme="minorHAnsi"/>
          <w:szCs w:val="21"/>
        </w:rPr>
        <w:t>的学术审核、以及我校院系及国际交流处的派出资格审核。</w:t>
      </w:r>
    </w:p>
    <w:p>
      <w:pPr>
        <w:pStyle w:val="20"/>
        <w:numPr>
          <w:ilvl w:val="0"/>
          <w:numId w:val="7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项目申请录取方式和报名流程</w:t>
      </w:r>
    </w:p>
    <w:p>
      <w:pPr>
        <w:pStyle w:val="20"/>
        <w:numPr>
          <w:ilvl w:val="0"/>
          <w:numId w:val="9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asciiTheme="minorHAnsi" w:hAnsiTheme="minorHAnsi" w:eastAsiaTheme="majorEastAsia" w:cstheme="minorHAnsi"/>
          <w:kern w:val="0"/>
          <w:szCs w:val="21"/>
        </w:rPr>
        <w:t>学生本人提出申请，在学校国际合作交流处（外事处）报名；</w:t>
      </w:r>
    </w:p>
    <w:p>
      <w:pPr>
        <w:pStyle w:val="20"/>
        <w:numPr>
          <w:ilvl w:val="0"/>
          <w:numId w:val="9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同时登录项目选拔管理机构 -- 全美国际教育协会网站</w:t>
      </w:r>
      <w:r>
        <w:fldChar w:fldCharType="begin"/>
      </w:r>
      <w:r>
        <w:instrText xml:space="preserve"> HYPERLINK "http://www.usiea.org" </w:instrText>
      </w:r>
      <w:r>
        <w:fldChar w:fldCharType="separate"/>
      </w:r>
      <w:r>
        <w:rPr>
          <w:rStyle w:val="15"/>
          <w:rFonts w:hint="eastAsia" w:asciiTheme="minorHAnsi" w:hAnsiTheme="minorHAnsi" w:eastAsiaTheme="majorEastAsia" w:cstheme="minorHAnsi"/>
          <w:szCs w:val="21"/>
        </w:rPr>
        <w:t>www.usiea.org</w:t>
      </w:r>
      <w:r>
        <w:rPr>
          <w:rStyle w:val="15"/>
          <w:rFonts w:hint="eastAsia" w:asciiTheme="minorHAnsi" w:hAnsiTheme="minorHAnsi" w:eastAsiaTheme="majorEastAsia" w:cstheme="minorHAnsi"/>
          <w:szCs w:val="21"/>
        </w:rPr>
        <w:fldChar w:fldCharType="end"/>
      </w:r>
      <w:r>
        <w:rPr>
          <w:rFonts w:hint="eastAsia" w:asciiTheme="minorHAnsi" w:hAnsiTheme="minorHAnsi" w:eastAsiaTheme="majorEastAsia" w:cstheme="minorHAnsi"/>
          <w:szCs w:val="21"/>
        </w:rPr>
        <w:t xml:space="preserve"> </w:t>
      </w:r>
      <w:r>
        <w:rPr>
          <w:rFonts w:asciiTheme="minorHAnsi" w:hAnsiTheme="minorHAnsi" w:eastAsiaTheme="majorEastAsia" w:cstheme="minorHAnsi"/>
          <w:szCs w:val="21"/>
        </w:rPr>
        <w:t>填写《</w:t>
      </w:r>
      <w:r>
        <w:rPr>
          <w:rFonts w:hint="eastAsia" w:asciiTheme="minorHAnsi" w:hAnsiTheme="minorHAnsi" w:eastAsiaTheme="majorEastAsia" w:cstheme="minorHAnsi"/>
          <w:szCs w:val="21"/>
        </w:rPr>
        <w:t>世界</w:t>
      </w:r>
      <w:r>
        <w:rPr>
          <w:rFonts w:asciiTheme="minorHAnsi" w:hAnsiTheme="minorHAnsi" w:eastAsiaTheme="majorEastAsia" w:cstheme="minorHAnsi"/>
          <w:szCs w:val="21"/>
        </w:rPr>
        <w:t>名校访学20</w:t>
      </w:r>
      <w:r>
        <w:rPr>
          <w:rFonts w:hint="eastAsia" w:asciiTheme="minorHAnsi" w:hAnsiTheme="minorHAnsi" w:eastAsiaTheme="majorEastAsia" w:cstheme="minorHAnsi"/>
          <w:szCs w:val="21"/>
        </w:rPr>
        <w:t>20</w:t>
      </w:r>
      <w:r>
        <w:rPr>
          <w:rFonts w:asciiTheme="minorHAnsi" w:hAnsiTheme="minorHAnsi" w:eastAsiaTheme="majorEastAsia" w:cstheme="minorHAnsi"/>
          <w:szCs w:val="21"/>
        </w:rPr>
        <w:t>-20</w:t>
      </w:r>
      <w:r>
        <w:rPr>
          <w:rFonts w:hint="eastAsia" w:asciiTheme="minorHAnsi" w:hAnsiTheme="minorHAnsi" w:eastAsiaTheme="majorEastAsia" w:cstheme="minorHAnsi"/>
          <w:szCs w:val="21"/>
        </w:rPr>
        <w:t>21</w:t>
      </w:r>
      <w:r>
        <w:rPr>
          <w:rFonts w:asciiTheme="minorHAnsi" w:hAnsiTheme="minorHAnsi" w:eastAsiaTheme="majorEastAsia" w:cstheme="minorHAnsi"/>
          <w:szCs w:val="21"/>
        </w:rPr>
        <w:t>学年</w:t>
      </w:r>
      <w:r>
        <w:rPr>
          <w:rFonts w:hint="eastAsia" w:asciiTheme="minorHAnsi" w:hAnsiTheme="minorHAnsi" w:eastAsiaTheme="majorEastAsia" w:cstheme="minorHAnsi"/>
          <w:szCs w:val="21"/>
        </w:rPr>
        <w:t>夏秋</w:t>
      </w:r>
      <w:r>
        <w:rPr>
          <w:rFonts w:asciiTheme="minorHAnsi" w:hAnsiTheme="minorHAnsi" w:eastAsiaTheme="majorEastAsia" w:cstheme="minorHAnsi"/>
          <w:szCs w:val="21"/>
        </w:rPr>
        <w:t>项目报名表》，网上报名的时间决定录取的顺序和安排宿舍的顺序；</w:t>
      </w:r>
    </w:p>
    <w:p>
      <w:pPr>
        <w:pStyle w:val="20"/>
        <w:numPr>
          <w:ilvl w:val="0"/>
          <w:numId w:val="9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学生申请资料经初步审核后，参加面试确定预录取名单；</w:t>
      </w:r>
    </w:p>
    <w:p>
      <w:pPr>
        <w:pStyle w:val="20"/>
        <w:numPr>
          <w:ilvl w:val="0"/>
          <w:numId w:val="9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学生提交正式申请材料并缴纳项目费用，获得学校录取及签证后赴</w:t>
      </w:r>
      <w:r>
        <w:rPr>
          <w:rFonts w:hint="eastAsia" w:asciiTheme="minorHAnsi" w:hAnsiTheme="minorHAnsi" w:eastAsiaTheme="majorEastAsia" w:cstheme="minorHAnsi"/>
          <w:szCs w:val="21"/>
        </w:rPr>
        <w:t>英</w:t>
      </w:r>
      <w:r>
        <w:rPr>
          <w:rFonts w:asciiTheme="minorHAnsi" w:hAnsiTheme="minorHAnsi" w:eastAsiaTheme="majorEastAsia" w:cstheme="minorHAnsi"/>
          <w:szCs w:val="21"/>
        </w:rPr>
        <w:t>学习</w:t>
      </w:r>
      <w:r>
        <w:rPr>
          <w:rFonts w:cs="Calibri" w:asciiTheme="minorHAnsi" w:hAnsiTheme="minorHAnsi"/>
          <w:sz w:val="22"/>
        </w:rPr>
        <w:t>；</w:t>
      </w:r>
    </w:p>
    <w:p>
      <w:pPr>
        <w:pStyle w:val="20"/>
        <w:numPr>
          <w:ilvl w:val="0"/>
          <w:numId w:val="10"/>
        </w:numPr>
        <w:spacing w:line="360" w:lineRule="auto"/>
        <w:ind w:firstLineChars="0"/>
        <w:jc w:val="left"/>
        <w:rPr>
          <w:rFonts w:ascii="Calibri" w:hAnsi="Calibri" w:cs="Calibri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 xml:space="preserve"> </w:t>
      </w:r>
      <w:r>
        <w:rPr>
          <w:rFonts w:hint="eastAsia" w:ascii="Calibri" w:hAnsi="Calibri" w:cs="Calibri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咨询电话：</w:t>
      </w:r>
    </w:p>
    <w:p>
      <w:pPr>
        <w:spacing w:line="360" w:lineRule="auto"/>
        <w:ind w:firstLine="211" w:firstLineChars="100"/>
        <w:rPr>
          <w:rFonts w:ascii="宋体" w:hAnsi="宋体" w:cs="宋体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国际交流处综合楼707 廖老师 电话：020-84096080 </w:t>
      </w:r>
    </w:p>
    <w:p>
      <w:pPr>
        <w:spacing w:line="360" w:lineRule="auto"/>
        <w:ind w:firstLine="211" w:firstLineChars="100"/>
        <w:rPr>
          <w:rFonts w:hint="eastAsia" w:ascii="宋体" w:hAnsi="宋体" w:cs="宋体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全美国际教育协会咨询电话: </w:t>
      </w:r>
    </w:p>
    <w:p>
      <w:pPr>
        <w:spacing w:line="360" w:lineRule="auto"/>
        <w:ind w:firstLine="211" w:firstLineChars="100"/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曾老师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189 2278 0945（微信同，周一至周五 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0—1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0）</w:t>
      </w:r>
    </w:p>
    <w:p>
      <w:pPr>
        <w:spacing w:line="360" w:lineRule="auto"/>
        <w:ind w:firstLine="211" w:firstLineChars="100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朱老师 138 2976 1018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（微信同，周一至周五 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0—1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0）</w:t>
      </w:r>
      <w:bookmarkStart w:id="0" w:name="_GoBack"/>
      <w:bookmarkEnd w:id="0"/>
    </w:p>
    <w:p>
      <w:pPr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jc w:val="left"/>
        <w:rPr>
          <w:rFonts w:cs="宋体" w:asciiTheme="minorHAnsi" w:hAnsiTheme="minorHAnsi"/>
          <w:kern w:val="0"/>
          <w:szCs w:val="21"/>
        </w:rPr>
      </w:pPr>
      <w:r>
        <w:rPr>
          <w:rFonts w:hint="eastAsia" w:cs="宋体" w:asciiTheme="minorHAnsi" w:hAnsiTheme="minorHAnsi"/>
          <w:kern w:val="0"/>
          <w:szCs w:val="21"/>
        </w:rPr>
        <w:t>———————————————————————————————————————</w:t>
      </w:r>
    </w:p>
    <w:p>
      <w:pPr>
        <w:widowControl/>
        <w:jc w:val="left"/>
        <w:rPr>
          <w:rFonts w:cs="宋体" w:asciiTheme="minorHAnsi" w:hAnsiTheme="minorHAnsi"/>
          <w:b/>
          <w:kern w:val="0"/>
          <w:sz w:val="20"/>
          <w:szCs w:val="21"/>
        </w:rPr>
      </w:pPr>
      <w:r>
        <w:rPr>
          <w:rFonts w:hint="eastAsia" w:cs="宋体" w:asciiTheme="minorHAnsi" w:hAnsiTheme="minorHAnsi"/>
          <w:b/>
          <w:kern w:val="0"/>
          <w:sz w:val="20"/>
          <w:szCs w:val="21"/>
        </w:rPr>
        <w:t>关于全美国际教育协会</w:t>
      </w:r>
    </w:p>
    <w:p>
      <w:pPr>
        <w:widowControl/>
        <w:jc w:val="left"/>
        <w:rPr>
          <w:rFonts w:cs="宋体" w:asciiTheme="minorHAnsi" w:hAnsiTheme="minorHAnsi"/>
          <w:b/>
          <w:kern w:val="0"/>
          <w:sz w:val="20"/>
          <w:szCs w:val="21"/>
        </w:rPr>
      </w:pPr>
      <w:r>
        <w:fldChar w:fldCharType="begin"/>
      </w:r>
      <w:r>
        <w:instrText xml:space="preserve"> HYPERLINK "http://www.usiea.org" </w:instrText>
      </w:r>
      <w:r>
        <w:fldChar w:fldCharType="separate"/>
      </w:r>
      <w:r>
        <w:rPr>
          <w:rFonts w:hint="eastAsia" w:cs="宋体" w:asciiTheme="minorHAnsi" w:hAnsiTheme="minorHAnsi"/>
          <w:b/>
          <w:color w:val="0068B7"/>
          <w:kern w:val="0"/>
          <w:sz w:val="20"/>
          <w:szCs w:val="21"/>
        </w:rPr>
        <w:t>www.usiea.org</w:t>
      </w:r>
      <w:r>
        <w:rPr>
          <w:rFonts w:hint="eastAsia" w:cs="宋体" w:asciiTheme="minorHAnsi" w:hAnsiTheme="minorHAnsi"/>
          <w:b/>
          <w:color w:val="0068B7"/>
          <w:kern w:val="0"/>
          <w:sz w:val="20"/>
          <w:szCs w:val="21"/>
        </w:rPr>
        <w:fldChar w:fldCharType="end"/>
      </w:r>
    </w:p>
    <w:p>
      <w:pPr>
        <w:widowControl/>
        <w:jc w:val="left"/>
        <w:rPr>
          <w:rFonts w:cs="宋体" w:asciiTheme="minorHAnsi" w:hAnsiTheme="minorHAnsi"/>
          <w:b/>
          <w:kern w:val="0"/>
          <w:sz w:val="20"/>
          <w:szCs w:val="21"/>
        </w:rPr>
      </w:pPr>
    </w:p>
    <w:p>
      <w:pPr>
        <w:widowControl/>
        <w:jc w:val="left"/>
        <w:rPr>
          <w:rFonts w:cs="宋体" w:asciiTheme="minorHAnsi" w:hAnsiTheme="minorHAnsi"/>
          <w:kern w:val="0"/>
          <w:sz w:val="20"/>
          <w:szCs w:val="21"/>
        </w:rPr>
      </w:pPr>
      <w:r>
        <w:rPr>
          <w:rFonts w:hint="eastAsia" w:cs="宋体" w:asciiTheme="minorHAnsi" w:hAnsiTheme="minorHAnsi"/>
          <w:kern w:val="0"/>
          <w:sz w:val="20"/>
          <w:szCs w:val="21"/>
        </w:rPr>
        <w:t>US International Education Association全美国际教育协会是在美国注册的非营利机构，旨在通过与中外高校的合作，为每一位大学生提供高品质的世界名校访学机会，共同培养具备全球胜任力的优秀大学生，促进不同文化间的沟通、理解与合作。</w:t>
      </w:r>
    </w:p>
    <w:p>
      <w:pPr>
        <w:widowControl/>
        <w:jc w:val="left"/>
        <w:rPr>
          <w:rFonts w:cs="宋体" w:asciiTheme="minorHAnsi" w:hAnsiTheme="minorHAnsi"/>
          <w:kern w:val="0"/>
          <w:sz w:val="20"/>
          <w:szCs w:val="21"/>
        </w:rPr>
      </w:pPr>
    </w:p>
    <w:p>
      <w:pPr>
        <w:widowControl/>
        <w:jc w:val="left"/>
        <w:rPr>
          <w:rFonts w:cs="宋体" w:asciiTheme="minorHAnsi" w:hAnsiTheme="minorHAnsi"/>
          <w:kern w:val="0"/>
          <w:sz w:val="20"/>
          <w:szCs w:val="21"/>
        </w:rPr>
      </w:pPr>
      <w:r>
        <w:rPr>
          <w:rFonts w:hint="eastAsia" w:cs="宋体" w:asciiTheme="minorHAnsi" w:hAnsiTheme="minorHAnsi"/>
          <w:kern w:val="0"/>
          <w:sz w:val="20"/>
          <w:szCs w:val="21"/>
        </w:rPr>
        <w:t>全美国际教育协会受美国哥伦比亚大学、宾夕法尼亚大学、波士顿大学、威斯康星大学麦迪逊分校、加州大学伯克利分校、加州大学圣地亚哥分校、加州大学河滨分校、乔治华盛顿大学、英国剑桥大学、伦敦政治经济学院、伦敦国王学院、加拿大多伦多大学、麦吉尔大学、英属哥伦比亚大学、澳大利亚昆士兰大学、新南威尔士大学、阿德莱德大学等20多所世界级名校的委托，与中国80多所高校合作选拔品学兼优的学生赴海外参加访学项目。</w:t>
      </w:r>
    </w:p>
    <w:p>
      <w:pPr>
        <w:widowControl/>
        <w:jc w:val="left"/>
        <w:rPr>
          <w:rFonts w:cs="宋体" w:asciiTheme="minorHAnsi" w:hAnsiTheme="minorHAnsi"/>
          <w:kern w:val="0"/>
          <w:sz w:val="20"/>
          <w:szCs w:val="21"/>
        </w:rPr>
      </w:pPr>
    </w:p>
    <w:p>
      <w:pPr>
        <w:widowControl/>
        <w:jc w:val="left"/>
        <w:rPr>
          <w:rFonts w:cs="宋体" w:asciiTheme="minorHAnsi" w:hAnsiTheme="minorHAnsi"/>
          <w:kern w:val="0"/>
          <w:sz w:val="20"/>
          <w:szCs w:val="21"/>
        </w:rPr>
      </w:pPr>
      <w:r>
        <w:rPr>
          <w:rFonts w:hint="eastAsia" w:cs="宋体" w:asciiTheme="minorHAnsi" w:hAnsiTheme="minorHAnsi"/>
          <w:kern w:val="0"/>
          <w:sz w:val="20"/>
          <w:szCs w:val="21"/>
        </w:rPr>
        <w:t>全美国际教育协会在北京、南京、杭州、广州、西安、成都、郑州设有办公室，为中国合作高校和学生提供与访学项目相关的全流程服务。</w:t>
      </w:r>
    </w:p>
    <w:p>
      <w:pPr>
        <w:spacing w:line="360" w:lineRule="auto"/>
        <w:ind w:left="360"/>
        <w:rPr>
          <w:rFonts w:asciiTheme="minorHAnsi" w:hAnsiTheme="minorHAnsi" w:eastAsiaTheme="majorEastAsia" w:cstheme="minorHAnsi"/>
          <w:szCs w:val="21"/>
        </w:rPr>
      </w:pPr>
    </w:p>
    <w:p>
      <w:pPr>
        <w:spacing w:line="360" w:lineRule="auto"/>
        <w:rPr>
          <w:rFonts w:cs="Calibri" w:asciiTheme="minorHAnsi" w:hAnsiTheme="minorHAnsi"/>
          <w:kern w:val="0"/>
          <w:sz w:val="22"/>
        </w:rPr>
      </w:pPr>
      <w:r>
        <w:rPr>
          <w:rFonts w:cs="宋体" w:asciiTheme="minorHAnsi" w:hAnsiTheme="minorHAnsi"/>
          <w:kern w:val="0"/>
          <w:sz w:val="20"/>
          <w:szCs w:val="21"/>
        </w:rPr>
        <w:t>全美国际教育协会官网：</w:t>
      </w:r>
      <w:r>
        <w:fldChar w:fldCharType="begin"/>
      </w:r>
      <w:r>
        <w:instrText xml:space="preserve"> HYPERLINK "http://www.usiea.org" </w:instrText>
      </w:r>
      <w:r>
        <w:fldChar w:fldCharType="separate"/>
      </w:r>
      <w:r>
        <w:rPr>
          <w:rFonts w:cs="Calibri" w:asciiTheme="minorHAnsi" w:hAnsiTheme="minorHAnsi"/>
          <w:color w:val="0068B7"/>
          <w:kern w:val="0"/>
          <w:sz w:val="22"/>
        </w:rPr>
        <w:t>www.usiea.org</w:t>
      </w:r>
      <w:r>
        <w:rPr>
          <w:rFonts w:cs="Calibri" w:asciiTheme="minorHAnsi" w:hAnsiTheme="minorHAnsi"/>
          <w:color w:val="0068B7"/>
          <w:kern w:val="0"/>
          <w:sz w:val="22"/>
        </w:rPr>
        <w:fldChar w:fldCharType="end"/>
      </w:r>
      <w:r>
        <w:rPr>
          <w:rFonts w:cs="Calibri" w:asciiTheme="minorHAnsi" w:hAnsiTheme="minorHAnsi"/>
          <w:kern w:val="0"/>
          <w:sz w:val="22"/>
        </w:rPr>
        <w:t xml:space="preserve"> </w:t>
      </w:r>
    </w:p>
    <w:p>
      <w:pPr>
        <w:spacing w:line="360" w:lineRule="auto"/>
        <w:rPr>
          <w:rFonts w:cs="宋体" w:asciiTheme="minorHAnsi" w:hAnsiTheme="minorHAnsi"/>
          <w:kern w:val="0"/>
          <w:sz w:val="20"/>
          <w:szCs w:val="21"/>
        </w:rPr>
      </w:pPr>
      <w:r>
        <w:rPr>
          <w:rFonts w:cs="宋体" w:asciiTheme="minorHAnsi" w:hAnsiTheme="minorHAnsi"/>
          <w:kern w:val="0"/>
          <w:sz w:val="20"/>
          <w:szCs w:val="21"/>
        </w:rPr>
        <w:t>全美国际教育协会官微：全美国际访学微刊</w:t>
      </w:r>
    </w:p>
    <w:p>
      <w:pPr>
        <w:widowControl/>
        <w:spacing w:line="360" w:lineRule="auto"/>
        <w:jc w:val="left"/>
        <w:rPr>
          <w:rFonts w:cs="Calibri" w:asciiTheme="minorHAnsi" w:hAnsiTheme="minorHAnsi"/>
          <w:color w:val="0068B7"/>
          <w:kern w:val="0"/>
          <w:sz w:val="22"/>
        </w:rPr>
      </w:pPr>
      <w:r>
        <w:rPr>
          <w:rFonts w:cs="宋体" w:asciiTheme="minorHAnsi" w:hAnsiTheme="minorHAnsi"/>
          <w:kern w:val="0"/>
          <w:sz w:val="20"/>
          <w:szCs w:val="21"/>
        </w:rPr>
        <w:t>项目邮箱咨询：</w:t>
      </w:r>
      <w:r>
        <w:fldChar w:fldCharType="begin"/>
      </w:r>
      <w:r>
        <w:instrText xml:space="preserve"> HYPERLINK "mailto:visitkcl@yeah.net" </w:instrText>
      </w:r>
      <w:r>
        <w:fldChar w:fldCharType="separate"/>
      </w:r>
      <w:r>
        <w:rPr>
          <w:rStyle w:val="15"/>
          <w:rFonts w:cs="宋体" w:asciiTheme="minorHAnsi" w:hAnsiTheme="minorHAnsi"/>
          <w:kern w:val="0"/>
          <w:sz w:val="22"/>
          <w:szCs w:val="22"/>
        </w:rPr>
        <w:t>visitkcl@yeah.net</w:t>
      </w:r>
      <w:r>
        <w:rPr>
          <w:rStyle w:val="15"/>
          <w:rFonts w:cs="宋体" w:asciiTheme="minorHAnsi" w:hAnsiTheme="minorHAnsi"/>
          <w:kern w:val="0"/>
          <w:sz w:val="22"/>
          <w:szCs w:val="22"/>
        </w:rPr>
        <w:fldChar w:fldCharType="end"/>
      </w:r>
    </w:p>
    <w:p>
      <w:pPr>
        <w:spacing w:line="0" w:lineRule="atLeast"/>
        <w:rPr>
          <w:b/>
          <w:color w:val="1F497D"/>
          <w:sz w:val="36"/>
        </w:rPr>
      </w:pPr>
    </w:p>
    <w:sectPr>
      <w:headerReference r:id="rId3" w:type="default"/>
      <w:pgSz w:w="11906" w:h="16838"/>
      <w:pgMar w:top="2025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0" w:lineRule="atLeast"/>
      <w:ind w:right="-336" w:rightChars="-160"/>
      <w:rPr>
        <w:rFonts w:ascii="微软雅黑" w:hAnsi="微软雅黑" w:eastAsia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15AD7"/>
    <w:multiLevelType w:val="multilevel"/>
    <w:tmpl w:val="0A115AD7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sz w:val="13"/>
        <w:szCs w:val="13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154D6311"/>
    <w:multiLevelType w:val="multilevel"/>
    <w:tmpl w:val="154D6311"/>
    <w:lvl w:ilvl="0" w:tentative="0">
      <w:start w:val="3"/>
      <w:numFmt w:val="decimal"/>
      <w:lvlText w:val="%1）"/>
      <w:lvlJc w:val="left"/>
      <w:pPr>
        <w:ind w:left="641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121" w:hanging="420"/>
      </w:pPr>
    </w:lvl>
    <w:lvl w:ilvl="2" w:tentative="0">
      <w:start w:val="1"/>
      <w:numFmt w:val="lowerRoman"/>
      <w:lvlText w:val="%3."/>
      <w:lvlJc w:val="right"/>
      <w:pPr>
        <w:ind w:left="1541" w:hanging="420"/>
      </w:pPr>
    </w:lvl>
    <w:lvl w:ilvl="3" w:tentative="0">
      <w:start w:val="1"/>
      <w:numFmt w:val="decimal"/>
      <w:lvlText w:val="%4."/>
      <w:lvlJc w:val="left"/>
      <w:pPr>
        <w:ind w:left="1961" w:hanging="420"/>
      </w:pPr>
    </w:lvl>
    <w:lvl w:ilvl="4" w:tentative="0">
      <w:start w:val="1"/>
      <w:numFmt w:val="lowerLetter"/>
      <w:lvlText w:val="%5)"/>
      <w:lvlJc w:val="left"/>
      <w:pPr>
        <w:ind w:left="2381" w:hanging="420"/>
      </w:pPr>
    </w:lvl>
    <w:lvl w:ilvl="5" w:tentative="0">
      <w:start w:val="1"/>
      <w:numFmt w:val="lowerRoman"/>
      <w:lvlText w:val="%6."/>
      <w:lvlJc w:val="right"/>
      <w:pPr>
        <w:ind w:left="2801" w:hanging="420"/>
      </w:pPr>
    </w:lvl>
    <w:lvl w:ilvl="6" w:tentative="0">
      <w:start w:val="1"/>
      <w:numFmt w:val="decimal"/>
      <w:lvlText w:val="%7."/>
      <w:lvlJc w:val="left"/>
      <w:pPr>
        <w:ind w:left="3221" w:hanging="420"/>
      </w:pPr>
    </w:lvl>
    <w:lvl w:ilvl="7" w:tentative="0">
      <w:start w:val="1"/>
      <w:numFmt w:val="lowerLetter"/>
      <w:lvlText w:val="%8)"/>
      <w:lvlJc w:val="left"/>
      <w:pPr>
        <w:ind w:left="3641" w:hanging="420"/>
      </w:pPr>
    </w:lvl>
    <w:lvl w:ilvl="8" w:tentative="0">
      <w:start w:val="1"/>
      <w:numFmt w:val="lowerRoman"/>
      <w:lvlText w:val="%9."/>
      <w:lvlJc w:val="right"/>
      <w:pPr>
        <w:ind w:left="4061" w:hanging="420"/>
      </w:pPr>
    </w:lvl>
  </w:abstractNum>
  <w:abstractNum w:abstractNumId="2">
    <w:nsid w:val="1D4F1874"/>
    <w:multiLevelType w:val="multilevel"/>
    <w:tmpl w:val="1D4F1874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3">
    <w:nsid w:val="2FCA0F95"/>
    <w:multiLevelType w:val="multilevel"/>
    <w:tmpl w:val="2FCA0F9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sz w:val="13"/>
        <w:szCs w:val="13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40431D83"/>
    <w:multiLevelType w:val="multilevel"/>
    <w:tmpl w:val="40431D83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sz w:val="13"/>
        <w:szCs w:val="13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5">
    <w:nsid w:val="49241C2D"/>
    <w:multiLevelType w:val="multilevel"/>
    <w:tmpl w:val="49241C2D"/>
    <w:lvl w:ilvl="0" w:tentative="0">
      <w:start w:val="1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F9B07AC"/>
    <w:multiLevelType w:val="multilevel"/>
    <w:tmpl w:val="5F9B07AC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sz w:val="13"/>
        <w:szCs w:val="13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7">
    <w:nsid w:val="61B36ACD"/>
    <w:multiLevelType w:val="multilevel"/>
    <w:tmpl w:val="61B36ACD"/>
    <w:lvl w:ilvl="0" w:tentative="0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8">
    <w:nsid w:val="6D50662A"/>
    <w:multiLevelType w:val="multilevel"/>
    <w:tmpl w:val="6D50662A"/>
    <w:lvl w:ilvl="0" w:tentative="0">
      <w:start w:val="1"/>
      <w:numFmt w:val="decimal"/>
      <w:lvlText w:val="%1)"/>
      <w:lvlJc w:val="left"/>
      <w:pPr>
        <w:ind w:left="630" w:hanging="420"/>
      </w:p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9">
    <w:nsid w:val="77F013D8"/>
    <w:multiLevelType w:val="multilevel"/>
    <w:tmpl w:val="77F013D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7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A8F"/>
    <w:rsid w:val="000035D7"/>
    <w:rsid w:val="00003F3F"/>
    <w:rsid w:val="00005020"/>
    <w:rsid w:val="00006712"/>
    <w:rsid w:val="000077A9"/>
    <w:rsid w:val="00010F31"/>
    <w:rsid w:val="000149E4"/>
    <w:rsid w:val="000169DD"/>
    <w:rsid w:val="0001734D"/>
    <w:rsid w:val="00022AFD"/>
    <w:rsid w:val="000230BD"/>
    <w:rsid w:val="00023476"/>
    <w:rsid w:val="000236D2"/>
    <w:rsid w:val="00024C64"/>
    <w:rsid w:val="00025206"/>
    <w:rsid w:val="0003068E"/>
    <w:rsid w:val="00030A02"/>
    <w:rsid w:val="00031403"/>
    <w:rsid w:val="0003562C"/>
    <w:rsid w:val="00035827"/>
    <w:rsid w:val="000362BD"/>
    <w:rsid w:val="0003777C"/>
    <w:rsid w:val="00040016"/>
    <w:rsid w:val="000402B0"/>
    <w:rsid w:val="00041148"/>
    <w:rsid w:val="00041BDA"/>
    <w:rsid w:val="000434F2"/>
    <w:rsid w:val="00044B87"/>
    <w:rsid w:val="00046229"/>
    <w:rsid w:val="000505E4"/>
    <w:rsid w:val="000519A2"/>
    <w:rsid w:val="00051A3D"/>
    <w:rsid w:val="0005389A"/>
    <w:rsid w:val="00060047"/>
    <w:rsid w:val="0006181E"/>
    <w:rsid w:val="00065242"/>
    <w:rsid w:val="00066BB4"/>
    <w:rsid w:val="00066CD0"/>
    <w:rsid w:val="00072B90"/>
    <w:rsid w:val="000742FA"/>
    <w:rsid w:val="0008167D"/>
    <w:rsid w:val="000820F9"/>
    <w:rsid w:val="000840CC"/>
    <w:rsid w:val="00091C7E"/>
    <w:rsid w:val="0009206E"/>
    <w:rsid w:val="000953D3"/>
    <w:rsid w:val="000954F4"/>
    <w:rsid w:val="000A0A86"/>
    <w:rsid w:val="000A2A22"/>
    <w:rsid w:val="000A4030"/>
    <w:rsid w:val="000A5251"/>
    <w:rsid w:val="000B1A29"/>
    <w:rsid w:val="000B346F"/>
    <w:rsid w:val="000B3A73"/>
    <w:rsid w:val="000B621C"/>
    <w:rsid w:val="000C2F7C"/>
    <w:rsid w:val="000C3F5B"/>
    <w:rsid w:val="000C4E56"/>
    <w:rsid w:val="000C5C18"/>
    <w:rsid w:val="000C7F9A"/>
    <w:rsid w:val="000D4BC5"/>
    <w:rsid w:val="000D5021"/>
    <w:rsid w:val="000E1209"/>
    <w:rsid w:val="000E71FC"/>
    <w:rsid w:val="000F01C0"/>
    <w:rsid w:val="000F168E"/>
    <w:rsid w:val="000F6E7C"/>
    <w:rsid w:val="001013E1"/>
    <w:rsid w:val="0010196F"/>
    <w:rsid w:val="001051AF"/>
    <w:rsid w:val="00106BA3"/>
    <w:rsid w:val="00110B1F"/>
    <w:rsid w:val="00110EDA"/>
    <w:rsid w:val="0011231F"/>
    <w:rsid w:val="00112EFC"/>
    <w:rsid w:val="001131EA"/>
    <w:rsid w:val="00116EF3"/>
    <w:rsid w:val="00120A5E"/>
    <w:rsid w:val="00120BC0"/>
    <w:rsid w:val="0012340B"/>
    <w:rsid w:val="001241E8"/>
    <w:rsid w:val="0012488E"/>
    <w:rsid w:val="00124B0D"/>
    <w:rsid w:val="00125024"/>
    <w:rsid w:val="001262F3"/>
    <w:rsid w:val="00127FE8"/>
    <w:rsid w:val="00131D30"/>
    <w:rsid w:val="00134011"/>
    <w:rsid w:val="00135F93"/>
    <w:rsid w:val="001370FA"/>
    <w:rsid w:val="00137744"/>
    <w:rsid w:val="00143294"/>
    <w:rsid w:val="00146AB9"/>
    <w:rsid w:val="00150193"/>
    <w:rsid w:val="001535A1"/>
    <w:rsid w:val="00155FCC"/>
    <w:rsid w:val="00160616"/>
    <w:rsid w:val="001621FC"/>
    <w:rsid w:val="00167799"/>
    <w:rsid w:val="00170451"/>
    <w:rsid w:val="0017244A"/>
    <w:rsid w:val="001738F0"/>
    <w:rsid w:val="00173AC0"/>
    <w:rsid w:val="00176F21"/>
    <w:rsid w:val="0018033F"/>
    <w:rsid w:val="00180AB5"/>
    <w:rsid w:val="00182AE1"/>
    <w:rsid w:val="00182E04"/>
    <w:rsid w:val="001834A2"/>
    <w:rsid w:val="0018354F"/>
    <w:rsid w:val="00185175"/>
    <w:rsid w:val="00186190"/>
    <w:rsid w:val="00190118"/>
    <w:rsid w:val="00192C0F"/>
    <w:rsid w:val="0019459B"/>
    <w:rsid w:val="001A0C7A"/>
    <w:rsid w:val="001A281F"/>
    <w:rsid w:val="001A4366"/>
    <w:rsid w:val="001A7D56"/>
    <w:rsid w:val="001B1730"/>
    <w:rsid w:val="001B1E96"/>
    <w:rsid w:val="001B1FAF"/>
    <w:rsid w:val="001B71DE"/>
    <w:rsid w:val="001C1A51"/>
    <w:rsid w:val="001C6985"/>
    <w:rsid w:val="001D01C6"/>
    <w:rsid w:val="001D3619"/>
    <w:rsid w:val="001D4042"/>
    <w:rsid w:val="001D458C"/>
    <w:rsid w:val="001D4EF4"/>
    <w:rsid w:val="001D5D4C"/>
    <w:rsid w:val="001E31D7"/>
    <w:rsid w:val="001E4E86"/>
    <w:rsid w:val="001E5D98"/>
    <w:rsid w:val="001F1FCF"/>
    <w:rsid w:val="001F5524"/>
    <w:rsid w:val="001F67D2"/>
    <w:rsid w:val="00201963"/>
    <w:rsid w:val="00202030"/>
    <w:rsid w:val="00203BFF"/>
    <w:rsid w:val="00205F7F"/>
    <w:rsid w:val="002133F2"/>
    <w:rsid w:val="0021711E"/>
    <w:rsid w:val="002202A8"/>
    <w:rsid w:val="00220AE0"/>
    <w:rsid w:val="00220E2D"/>
    <w:rsid w:val="002211FB"/>
    <w:rsid w:val="0022214B"/>
    <w:rsid w:val="0022625C"/>
    <w:rsid w:val="002274D9"/>
    <w:rsid w:val="00233816"/>
    <w:rsid w:val="0023684E"/>
    <w:rsid w:val="00240E4E"/>
    <w:rsid w:val="002441C6"/>
    <w:rsid w:val="002449A1"/>
    <w:rsid w:val="00251642"/>
    <w:rsid w:val="00254207"/>
    <w:rsid w:val="00255140"/>
    <w:rsid w:val="00261406"/>
    <w:rsid w:val="00261C11"/>
    <w:rsid w:val="00266D3D"/>
    <w:rsid w:val="002679B3"/>
    <w:rsid w:val="00271BCB"/>
    <w:rsid w:val="00274A34"/>
    <w:rsid w:val="00275270"/>
    <w:rsid w:val="0028056A"/>
    <w:rsid w:val="00280A41"/>
    <w:rsid w:val="002852EE"/>
    <w:rsid w:val="00286224"/>
    <w:rsid w:val="002906DF"/>
    <w:rsid w:val="0029179F"/>
    <w:rsid w:val="00292326"/>
    <w:rsid w:val="00295361"/>
    <w:rsid w:val="002954BF"/>
    <w:rsid w:val="00296088"/>
    <w:rsid w:val="00296348"/>
    <w:rsid w:val="00297E1A"/>
    <w:rsid w:val="002A32D9"/>
    <w:rsid w:val="002A3386"/>
    <w:rsid w:val="002A402F"/>
    <w:rsid w:val="002B5E23"/>
    <w:rsid w:val="002B61DD"/>
    <w:rsid w:val="002B7076"/>
    <w:rsid w:val="002B7158"/>
    <w:rsid w:val="002C2028"/>
    <w:rsid w:val="002C229B"/>
    <w:rsid w:val="002C27D4"/>
    <w:rsid w:val="002C3134"/>
    <w:rsid w:val="002C612F"/>
    <w:rsid w:val="002C6AEB"/>
    <w:rsid w:val="002C722D"/>
    <w:rsid w:val="002D04D0"/>
    <w:rsid w:val="002D0DAC"/>
    <w:rsid w:val="002D76B2"/>
    <w:rsid w:val="002D7B20"/>
    <w:rsid w:val="002E0BA0"/>
    <w:rsid w:val="002E1476"/>
    <w:rsid w:val="002E3299"/>
    <w:rsid w:val="002E4985"/>
    <w:rsid w:val="002E64CC"/>
    <w:rsid w:val="002F1A53"/>
    <w:rsid w:val="002F3568"/>
    <w:rsid w:val="002F7AB9"/>
    <w:rsid w:val="003013CE"/>
    <w:rsid w:val="0030157A"/>
    <w:rsid w:val="00302995"/>
    <w:rsid w:val="00303D3D"/>
    <w:rsid w:val="003047BA"/>
    <w:rsid w:val="00313A58"/>
    <w:rsid w:val="0031712B"/>
    <w:rsid w:val="0032092A"/>
    <w:rsid w:val="00321528"/>
    <w:rsid w:val="00321717"/>
    <w:rsid w:val="00321D5F"/>
    <w:rsid w:val="0032313B"/>
    <w:rsid w:val="00330EF0"/>
    <w:rsid w:val="00333C15"/>
    <w:rsid w:val="00334EC1"/>
    <w:rsid w:val="00342D9D"/>
    <w:rsid w:val="00342E7E"/>
    <w:rsid w:val="0035066E"/>
    <w:rsid w:val="003508E4"/>
    <w:rsid w:val="003518A8"/>
    <w:rsid w:val="00352A1D"/>
    <w:rsid w:val="00353816"/>
    <w:rsid w:val="00355979"/>
    <w:rsid w:val="003574A4"/>
    <w:rsid w:val="00361CCF"/>
    <w:rsid w:val="00364A0C"/>
    <w:rsid w:val="003738EA"/>
    <w:rsid w:val="00375491"/>
    <w:rsid w:val="00381E2C"/>
    <w:rsid w:val="003822A8"/>
    <w:rsid w:val="00383DCC"/>
    <w:rsid w:val="00386A4E"/>
    <w:rsid w:val="00386C51"/>
    <w:rsid w:val="00387362"/>
    <w:rsid w:val="00390C9A"/>
    <w:rsid w:val="00390FCA"/>
    <w:rsid w:val="00394758"/>
    <w:rsid w:val="00394A95"/>
    <w:rsid w:val="00396306"/>
    <w:rsid w:val="00397742"/>
    <w:rsid w:val="003A6BB9"/>
    <w:rsid w:val="003B4151"/>
    <w:rsid w:val="003B669C"/>
    <w:rsid w:val="003B786E"/>
    <w:rsid w:val="003C30F6"/>
    <w:rsid w:val="003C6EF7"/>
    <w:rsid w:val="003D0F7B"/>
    <w:rsid w:val="003D0FE9"/>
    <w:rsid w:val="003D13F7"/>
    <w:rsid w:val="003D2BCE"/>
    <w:rsid w:val="003D4037"/>
    <w:rsid w:val="003D4529"/>
    <w:rsid w:val="003D4B46"/>
    <w:rsid w:val="003D5531"/>
    <w:rsid w:val="003D5F48"/>
    <w:rsid w:val="003D7B86"/>
    <w:rsid w:val="003E01B3"/>
    <w:rsid w:val="003E3199"/>
    <w:rsid w:val="003E3788"/>
    <w:rsid w:val="003E7DA0"/>
    <w:rsid w:val="003F050A"/>
    <w:rsid w:val="003F059B"/>
    <w:rsid w:val="003F16A0"/>
    <w:rsid w:val="003F50D1"/>
    <w:rsid w:val="003F5D96"/>
    <w:rsid w:val="003F5F88"/>
    <w:rsid w:val="00402B49"/>
    <w:rsid w:val="00404265"/>
    <w:rsid w:val="0041117C"/>
    <w:rsid w:val="0041273F"/>
    <w:rsid w:val="0042204E"/>
    <w:rsid w:val="00426325"/>
    <w:rsid w:val="00430B91"/>
    <w:rsid w:val="004330A9"/>
    <w:rsid w:val="00437A33"/>
    <w:rsid w:val="00440C9F"/>
    <w:rsid w:val="0044292F"/>
    <w:rsid w:val="00443C5D"/>
    <w:rsid w:val="004469A3"/>
    <w:rsid w:val="0045270B"/>
    <w:rsid w:val="00454C45"/>
    <w:rsid w:val="00455152"/>
    <w:rsid w:val="00461EE8"/>
    <w:rsid w:val="004624BE"/>
    <w:rsid w:val="00464F1E"/>
    <w:rsid w:val="00465A92"/>
    <w:rsid w:val="004679CE"/>
    <w:rsid w:val="00467FC8"/>
    <w:rsid w:val="00470270"/>
    <w:rsid w:val="00471CBF"/>
    <w:rsid w:val="00472046"/>
    <w:rsid w:val="00474774"/>
    <w:rsid w:val="00480534"/>
    <w:rsid w:val="00481A67"/>
    <w:rsid w:val="00485AD1"/>
    <w:rsid w:val="00486AA5"/>
    <w:rsid w:val="00492C7A"/>
    <w:rsid w:val="004932B6"/>
    <w:rsid w:val="004946E0"/>
    <w:rsid w:val="00495E6D"/>
    <w:rsid w:val="004A1602"/>
    <w:rsid w:val="004A51A8"/>
    <w:rsid w:val="004B49EE"/>
    <w:rsid w:val="004B4D89"/>
    <w:rsid w:val="004B516E"/>
    <w:rsid w:val="004C0E26"/>
    <w:rsid w:val="004C15F5"/>
    <w:rsid w:val="004C343D"/>
    <w:rsid w:val="004C5277"/>
    <w:rsid w:val="004C6632"/>
    <w:rsid w:val="004D2423"/>
    <w:rsid w:val="004D3884"/>
    <w:rsid w:val="004D5BBA"/>
    <w:rsid w:val="004D5D38"/>
    <w:rsid w:val="004E0748"/>
    <w:rsid w:val="004E728E"/>
    <w:rsid w:val="004F0AAB"/>
    <w:rsid w:val="004F743F"/>
    <w:rsid w:val="004F7C1B"/>
    <w:rsid w:val="00500A8F"/>
    <w:rsid w:val="00500DE1"/>
    <w:rsid w:val="005028D5"/>
    <w:rsid w:val="005043E9"/>
    <w:rsid w:val="00504FF1"/>
    <w:rsid w:val="005060F9"/>
    <w:rsid w:val="00507B1B"/>
    <w:rsid w:val="0051106C"/>
    <w:rsid w:val="00512BAE"/>
    <w:rsid w:val="005143A6"/>
    <w:rsid w:val="00520C0E"/>
    <w:rsid w:val="00521924"/>
    <w:rsid w:val="00522EAE"/>
    <w:rsid w:val="00523C32"/>
    <w:rsid w:val="005250F2"/>
    <w:rsid w:val="00525703"/>
    <w:rsid w:val="005260BE"/>
    <w:rsid w:val="00527573"/>
    <w:rsid w:val="005326B5"/>
    <w:rsid w:val="005339BB"/>
    <w:rsid w:val="00536F45"/>
    <w:rsid w:val="00537EE6"/>
    <w:rsid w:val="005447E3"/>
    <w:rsid w:val="00547E75"/>
    <w:rsid w:val="00552CC6"/>
    <w:rsid w:val="00554115"/>
    <w:rsid w:val="00554D5C"/>
    <w:rsid w:val="00555016"/>
    <w:rsid w:val="00555043"/>
    <w:rsid w:val="005559B9"/>
    <w:rsid w:val="00556212"/>
    <w:rsid w:val="005606AC"/>
    <w:rsid w:val="00563622"/>
    <w:rsid w:val="005643D6"/>
    <w:rsid w:val="0057138A"/>
    <w:rsid w:val="00571797"/>
    <w:rsid w:val="00572B6E"/>
    <w:rsid w:val="005730D7"/>
    <w:rsid w:val="005762B0"/>
    <w:rsid w:val="00584716"/>
    <w:rsid w:val="005849E3"/>
    <w:rsid w:val="00584E4F"/>
    <w:rsid w:val="00584E6C"/>
    <w:rsid w:val="005868F6"/>
    <w:rsid w:val="00586D6C"/>
    <w:rsid w:val="00587D18"/>
    <w:rsid w:val="00593AC3"/>
    <w:rsid w:val="00596D1A"/>
    <w:rsid w:val="005A31F5"/>
    <w:rsid w:val="005A65C8"/>
    <w:rsid w:val="005B5140"/>
    <w:rsid w:val="005B69C2"/>
    <w:rsid w:val="005C27A1"/>
    <w:rsid w:val="005C28B5"/>
    <w:rsid w:val="005C4BF2"/>
    <w:rsid w:val="005C67D4"/>
    <w:rsid w:val="005C7CC0"/>
    <w:rsid w:val="005D0683"/>
    <w:rsid w:val="005D474E"/>
    <w:rsid w:val="005D6F09"/>
    <w:rsid w:val="005E09FF"/>
    <w:rsid w:val="005E5A41"/>
    <w:rsid w:val="005E674A"/>
    <w:rsid w:val="005E6E17"/>
    <w:rsid w:val="005F0AD3"/>
    <w:rsid w:val="005F13F0"/>
    <w:rsid w:val="005F6112"/>
    <w:rsid w:val="006001D3"/>
    <w:rsid w:val="00606AA2"/>
    <w:rsid w:val="00606C4F"/>
    <w:rsid w:val="0060716E"/>
    <w:rsid w:val="00610563"/>
    <w:rsid w:val="00610575"/>
    <w:rsid w:val="006107E7"/>
    <w:rsid w:val="0061228A"/>
    <w:rsid w:val="006131C5"/>
    <w:rsid w:val="006139AA"/>
    <w:rsid w:val="00617A76"/>
    <w:rsid w:val="00621516"/>
    <w:rsid w:val="00621ED0"/>
    <w:rsid w:val="00622238"/>
    <w:rsid w:val="00624BB2"/>
    <w:rsid w:val="00632329"/>
    <w:rsid w:val="00634BE4"/>
    <w:rsid w:val="00636A3C"/>
    <w:rsid w:val="00637AD1"/>
    <w:rsid w:val="006415DA"/>
    <w:rsid w:val="006452B3"/>
    <w:rsid w:val="00657FCD"/>
    <w:rsid w:val="0066295A"/>
    <w:rsid w:val="00663035"/>
    <w:rsid w:val="00664055"/>
    <w:rsid w:val="00666CF9"/>
    <w:rsid w:val="00667457"/>
    <w:rsid w:val="00667A61"/>
    <w:rsid w:val="00670ED6"/>
    <w:rsid w:val="006740B4"/>
    <w:rsid w:val="0067541F"/>
    <w:rsid w:val="00680DC2"/>
    <w:rsid w:val="00680FF7"/>
    <w:rsid w:val="00681291"/>
    <w:rsid w:val="00683559"/>
    <w:rsid w:val="006858D5"/>
    <w:rsid w:val="00687DBB"/>
    <w:rsid w:val="00696B1C"/>
    <w:rsid w:val="006A01E8"/>
    <w:rsid w:val="006A0D12"/>
    <w:rsid w:val="006A2B5F"/>
    <w:rsid w:val="006A2FF7"/>
    <w:rsid w:val="006A32C4"/>
    <w:rsid w:val="006A6080"/>
    <w:rsid w:val="006A72B8"/>
    <w:rsid w:val="006A7C06"/>
    <w:rsid w:val="006B28F7"/>
    <w:rsid w:val="006B576E"/>
    <w:rsid w:val="006B7C51"/>
    <w:rsid w:val="006B7C8E"/>
    <w:rsid w:val="006C1F05"/>
    <w:rsid w:val="006C2070"/>
    <w:rsid w:val="006C4514"/>
    <w:rsid w:val="006D2901"/>
    <w:rsid w:val="006D5B15"/>
    <w:rsid w:val="006D642C"/>
    <w:rsid w:val="006F038D"/>
    <w:rsid w:val="006F43A0"/>
    <w:rsid w:val="006F70F8"/>
    <w:rsid w:val="00700EA9"/>
    <w:rsid w:val="0070255A"/>
    <w:rsid w:val="00705986"/>
    <w:rsid w:val="00705BEF"/>
    <w:rsid w:val="00706179"/>
    <w:rsid w:val="0071139B"/>
    <w:rsid w:val="007113DD"/>
    <w:rsid w:val="0071430B"/>
    <w:rsid w:val="00720659"/>
    <w:rsid w:val="0072201D"/>
    <w:rsid w:val="00726857"/>
    <w:rsid w:val="00726D8F"/>
    <w:rsid w:val="00727B01"/>
    <w:rsid w:val="007328BD"/>
    <w:rsid w:val="00733292"/>
    <w:rsid w:val="00734D73"/>
    <w:rsid w:val="00735A0C"/>
    <w:rsid w:val="00736663"/>
    <w:rsid w:val="00740DD5"/>
    <w:rsid w:val="007423FD"/>
    <w:rsid w:val="00743412"/>
    <w:rsid w:val="00760C7A"/>
    <w:rsid w:val="007619AD"/>
    <w:rsid w:val="00762330"/>
    <w:rsid w:val="007640E0"/>
    <w:rsid w:val="007652B1"/>
    <w:rsid w:val="00767A55"/>
    <w:rsid w:val="00770616"/>
    <w:rsid w:val="00770E19"/>
    <w:rsid w:val="00772B66"/>
    <w:rsid w:val="00772E22"/>
    <w:rsid w:val="00774257"/>
    <w:rsid w:val="00775505"/>
    <w:rsid w:val="00776AE1"/>
    <w:rsid w:val="00777630"/>
    <w:rsid w:val="007807CA"/>
    <w:rsid w:val="0078377B"/>
    <w:rsid w:val="00783B2F"/>
    <w:rsid w:val="00785C31"/>
    <w:rsid w:val="00794941"/>
    <w:rsid w:val="00795004"/>
    <w:rsid w:val="00796C00"/>
    <w:rsid w:val="007977EE"/>
    <w:rsid w:val="007A01B4"/>
    <w:rsid w:val="007A03BE"/>
    <w:rsid w:val="007A07E5"/>
    <w:rsid w:val="007A2996"/>
    <w:rsid w:val="007A385D"/>
    <w:rsid w:val="007A3E79"/>
    <w:rsid w:val="007A7362"/>
    <w:rsid w:val="007B436B"/>
    <w:rsid w:val="007B5A17"/>
    <w:rsid w:val="007B7729"/>
    <w:rsid w:val="007B7D1E"/>
    <w:rsid w:val="007C2153"/>
    <w:rsid w:val="007C348F"/>
    <w:rsid w:val="007C4DBC"/>
    <w:rsid w:val="007C5BAC"/>
    <w:rsid w:val="007C66DE"/>
    <w:rsid w:val="007D0768"/>
    <w:rsid w:val="007D224F"/>
    <w:rsid w:val="007D2FE4"/>
    <w:rsid w:val="007D62F3"/>
    <w:rsid w:val="007D67D4"/>
    <w:rsid w:val="007E0C8A"/>
    <w:rsid w:val="007E26F2"/>
    <w:rsid w:val="007E2951"/>
    <w:rsid w:val="007E32E8"/>
    <w:rsid w:val="007E3816"/>
    <w:rsid w:val="007E3ADE"/>
    <w:rsid w:val="007F04ED"/>
    <w:rsid w:val="007F342D"/>
    <w:rsid w:val="007F5700"/>
    <w:rsid w:val="00802548"/>
    <w:rsid w:val="00802957"/>
    <w:rsid w:val="00814AA6"/>
    <w:rsid w:val="008153A8"/>
    <w:rsid w:val="00821496"/>
    <w:rsid w:val="00821DC7"/>
    <w:rsid w:val="00822EED"/>
    <w:rsid w:val="00826507"/>
    <w:rsid w:val="008267EE"/>
    <w:rsid w:val="0083050D"/>
    <w:rsid w:val="00831C27"/>
    <w:rsid w:val="00832E9B"/>
    <w:rsid w:val="00837952"/>
    <w:rsid w:val="008432ED"/>
    <w:rsid w:val="00843F7D"/>
    <w:rsid w:val="008450F3"/>
    <w:rsid w:val="00845245"/>
    <w:rsid w:val="00851871"/>
    <w:rsid w:val="00853833"/>
    <w:rsid w:val="00860271"/>
    <w:rsid w:val="0086227D"/>
    <w:rsid w:val="00863FEE"/>
    <w:rsid w:val="008653E0"/>
    <w:rsid w:val="00866BD2"/>
    <w:rsid w:val="00870D6A"/>
    <w:rsid w:val="0087133B"/>
    <w:rsid w:val="00872523"/>
    <w:rsid w:val="008733D7"/>
    <w:rsid w:val="0087747F"/>
    <w:rsid w:val="008775A8"/>
    <w:rsid w:val="0088020B"/>
    <w:rsid w:val="0088113C"/>
    <w:rsid w:val="00881CA9"/>
    <w:rsid w:val="0088500C"/>
    <w:rsid w:val="00887346"/>
    <w:rsid w:val="0089014A"/>
    <w:rsid w:val="008902CF"/>
    <w:rsid w:val="00894757"/>
    <w:rsid w:val="008966E9"/>
    <w:rsid w:val="008B4949"/>
    <w:rsid w:val="008B4A3B"/>
    <w:rsid w:val="008B56E5"/>
    <w:rsid w:val="008B7215"/>
    <w:rsid w:val="008B79D1"/>
    <w:rsid w:val="008B7F03"/>
    <w:rsid w:val="008C1F77"/>
    <w:rsid w:val="008D3CFE"/>
    <w:rsid w:val="008D55B7"/>
    <w:rsid w:val="008D5E6C"/>
    <w:rsid w:val="008D5FF3"/>
    <w:rsid w:val="008D7F16"/>
    <w:rsid w:val="008E2F80"/>
    <w:rsid w:val="008E4534"/>
    <w:rsid w:val="008E54DB"/>
    <w:rsid w:val="008F1045"/>
    <w:rsid w:val="008F1FD1"/>
    <w:rsid w:val="008F6298"/>
    <w:rsid w:val="008F767A"/>
    <w:rsid w:val="009018E4"/>
    <w:rsid w:val="00903AB5"/>
    <w:rsid w:val="00903BED"/>
    <w:rsid w:val="00905613"/>
    <w:rsid w:val="00905BF1"/>
    <w:rsid w:val="00907193"/>
    <w:rsid w:val="00907BE2"/>
    <w:rsid w:val="00913572"/>
    <w:rsid w:val="009171E7"/>
    <w:rsid w:val="00917A3B"/>
    <w:rsid w:val="0092087F"/>
    <w:rsid w:val="00920936"/>
    <w:rsid w:val="00922281"/>
    <w:rsid w:val="0092377F"/>
    <w:rsid w:val="00930DF7"/>
    <w:rsid w:val="00936821"/>
    <w:rsid w:val="009409B4"/>
    <w:rsid w:val="00940A3E"/>
    <w:rsid w:val="0094120B"/>
    <w:rsid w:val="0094276A"/>
    <w:rsid w:val="00942C75"/>
    <w:rsid w:val="009501C8"/>
    <w:rsid w:val="00951195"/>
    <w:rsid w:val="00952045"/>
    <w:rsid w:val="00952679"/>
    <w:rsid w:val="00952BA5"/>
    <w:rsid w:val="009531E1"/>
    <w:rsid w:val="00954D69"/>
    <w:rsid w:val="009554FB"/>
    <w:rsid w:val="00957EEC"/>
    <w:rsid w:val="00961B5B"/>
    <w:rsid w:val="00961BAD"/>
    <w:rsid w:val="00963696"/>
    <w:rsid w:val="009642E6"/>
    <w:rsid w:val="009645E2"/>
    <w:rsid w:val="00965CCC"/>
    <w:rsid w:val="0097060A"/>
    <w:rsid w:val="00972BCD"/>
    <w:rsid w:val="0097304E"/>
    <w:rsid w:val="00974248"/>
    <w:rsid w:val="0097647D"/>
    <w:rsid w:val="009824FC"/>
    <w:rsid w:val="00983403"/>
    <w:rsid w:val="00983752"/>
    <w:rsid w:val="00983EF6"/>
    <w:rsid w:val="00994EDE"/>
    <w:rsid w:val="009959F3"/>
    <w:rsid w:val="00995FFE"/>
    <w:rsid w:val="009964B0"/>
    <w:rsid w:val="009A11C1"/>
    <w:rsid w:val="009A27F7"/>
    <w:rsid w:val="009A292D"/>
    <w:rsid w:val="009A4CAF"/>
    <w:rsid w:val="009A5C60"/>
    <w:rsid w:val="009A69B5"/>
    <w:rsid w:val="009B0D73"/>
    <w:rsid w:val="009B3167"/>
    <w:rsid w:val="009B7CCB"/>
    <w:rsid w:val="009C020C"/>
    <w:rsid w:val="009C25A0"/>
    <w:rsid w:val="009C44ED"/>
    <w:rsid w:val="009C5D67"/>
    <w:rsid w:val="009C698C"/>
    <w:rsid w:val="009C7A2D"/>
    <w:rsid w:val="009C7CE4"/>
    <w:rsid w:val="009E18AF"/>
    <w:rsid w:val="009E4A3B"/>
    <w:rsid w:val="009E5D88"/>
    <w:rsid w:val="009F0653"/>
    <w:rsid w:val="009F1FC1"/>
    <w:rsid w:val="009F7FCB"/>
    <w:rsid w:val="00A00B17"/>
    <w:rsid w:val="00A07695"/>
    <w:rsid w:val="00A07DCE"/>
    <w:rsid w:val="00A1042E"/>
    <w:rsid w:val="00A10667"/>
    <w:rsid w:val="00A14608"/>
    <w:rsid w:val="00A1794D"/>
    <w:rsid w:val="00A207E1"/>
    <w:rsid w:val="00A220C6"/>
    <w:rsid w:val="00A2225A"/>
    <w:rsid w:val="00A2358C"/>
    <w:rsid w:val="00A23C33"/>
    <w:rsid w:val="00A2663A"/>
    <w:rsid w:val="00A31C85"/>
    <w:rsid w:val="00A32B62"/>
    <w:rsid w:val="00A32C2E"/>
    <w:rsid w:val="00A33A9E"/>
    <w:rsid w:val="00A344D7"/>
    <w:rsid w:val="00A50BF4"/>
    <w:rsid w:val="00A568B0"/>
    <w:rsid w:val="00A57829"/>
    <w:rsid w:val="00A60310"/>
    <w:rsid w:val="00A623DF"/>
    <w:rsid w:val="00A625D7"/>
    <w:rsid w:val="00A67B5E"/>
    <w:rsid w:val="00A72E16"/>
    <w:rsid w:val="00A76003"/>
    <w:rsid w:val="00A76D78"/>
    <w:rsid w:val="00A83140"/>
    <w:rsid w:val="00A843DA"/>
    <w:rsid w:val="00A84830"/>
    <w:rsid w:val="00A878D6"/>
    <w:rsid w:val="00A9241D"/>
    <w:rsid w:val="00A92D51"/>
    <w:rsid w:val="00AA1738"/>
    <w:rsid w:val="00AA2334"/>
    <w:rsid w:val="00AA4DC4"/>
    <w:rsid w:val="00AB05C6"/>
    <w:rsid w:val="00AB66D7"/>
    <w:rsid w:val="00AB694F"/>
    <w:rsid w:val="00AC32C6"/>
    <w:rsid w:val="00AD37E5"/>
    <w:rsid w:val="00AD3CFD"/>
    <w:rsid w:val="00AD7BA1"/>
    <w:rsid w:val="00AE32F1"/>
    <w:rsid w:val="00AE5279"/>
    <w:rsid w:val="00AF1520"/>
    <w:rsid w:val="00AF5247"/>
    <w:rsid w:val="00AF78C6"/>
    <w:rsid w:val="00AF7CB4"/>
    <w:rsid w:val="00B00961"/>
    <w:rsid w:val="00B01ADE"/>
    <w:rsid w:val="00B01F4F"/>
    <w:rsid w:val="00B12237"/>
    <w:rsid w:val="00B12F3C"/>
    <w:rsid w:val="00B22841"/>
    <w:rsid w:val="00B24FF7"/>
    <w:rsid w:val="00B2543C"/>
    <w:rsid w:val="00B26192"/>
    <w:rsid w:val="00B262CD"/>
    <w:rsid w:val="00B40A66"/>
    <w:rsid w:val="00B44FDB"/>
    <w:rsid w:val="00B50CF4"/>
    <w:rsid w:val="00B55BC5"/>
    <w:rsid w:val="00B57B39"/>
    <w:rsid w:val="00B60E9C"/>
    <w:rsid w:val="00B6632A"/>
    <w:rsid w:val="00B67C18"/>
    <w:rsid w:val="00B74F9C"/>
    <w:rsid w:val="00B76A1E"/>
    <w:rsid w:val="00B801E0"/>
    <w:rsid w:val="00B8044E"/>
    <w:rsid w:val="00B83422"/>
    <w:rsid w:val="00B841C1"/>
    <w:rsid w:val="00B86083"/>
    <w:rsid w:val="00B8765A"/>
    <w:rsid w:val="00B955B3"/>
    <w:rsid w:val="00BA15F6"/>
    <w:rsid w:val="00BA5348"/>
    <w:rsid w:val="00BB0CAA"/>
    <w:rsid w:val="00BB11A8"/>
    <w:rsid w:val="00BB2026"/>
    <w:rsid w:val="00BB7F1E"/>
    <w:rsid w:val="00BC2ABE"/>
    <w:rsid w:val="00BC3B43"/>
    <w:rsid w:val="00BC5535"/>
    <w:rsid w:val="00BD3A1E"/>
    <w:rsid w:val="00BE02A7"/>
    <w:rsid w:val="00BE2788"/>
    <w:rsid w:val="00BE539C"/>
    <w:rsid w:val="00BE6F4C"/>
    <w:rsid w:val="00BE78CF"/>
    <w:rsid w:val="00BE7E70"/>
    <w:rsid w:val="00BF460C"/>
    <w:rsid w:val="00BF5F9C"/>
    <w:rsid w:val="00C02F99"/>
    <w:rsid w:val="00C05D8E"/>
    <w:rsid w:val="00C06B20"/>
    <w:rsid w:val="00C06CBE"/>
    <w:rsid w:val="00C123C3"/>
    <w:rsid w:val="00C126DF"/>
    <w:rsid w:val="00C15DBB"/>
    <w:rsid w:val="00C17D89"/>
    <w:rsid w:val="00C20343"/>
    <w:rsid w:val="00C227C2"/>
    <w:rsid w:val="00C249A2"/>
    <w:rsid w:val="00C3495E"/>
    <w:rsid w:val="00C444EA"/>
    <w:rsid w:val="00C44F99"/>
    <w:rsid w:val="00C50408"/>
    <w:rsid w:val="00C50DF8"/>
    <w:rsid w:val="00C5114A"/>
    <w:rsid w:val="00C55BB5"/>
    <w:rsid w:val="00C61DCC"/>
    <w:rsid w:val="00C64953"/>
    <w:rsid w:val="00C65409"/>
    <w:rsid w:val="00C72F22"/>
    <w:rsid w:val="00C745E3"/>
    <w:rsid w:val="00C7494D"/>
    <w:rsid w:val="00C75C2E"/>
    <w:rsid w:val="00C766EF"/>
    <w:rsid w:val="00C76C08"/>
    <w:rsid w:val="00C773FC"/>
    <w:rsid w:val="00C807AA"/>
    <w:rsid w:val="00C80EE6"/>
    <w:rsid w:val="00C817A7"/>
    <w:rsid w:val="00C82075"/>
    <w:rsid w:val="00C861B2"/>
    <w:rsid w:val="00C8729D"/>
    <w:rsid w:val="00CA2A8B"/>
    <w:rsid w:val="00CA65E9"/>
    <w:rsid w:val="00CA67EF"/>
    <w:rsid w:val="00CB1784"/>
    <w:rsid w:val="00CB4339"/>
    <w:rsid w:val="00CB67B9"/>
    <w:rsid w:val="00CB6A55"/>
    <w:rsid w:val="00CC06D4"/>
    <w:rsid w:val="00CC1890"/>
    <w:rsid w:val="00CC4709"/>
    <w:rsid w:val="00CC480B"/>
    <w:rsid w:val="00CC72C5"/>
    <w:rsid w:val="00CC7310"/>
    <w:rsid w:val="00CD056C"/>
    <w:rsid w:val="00CD332E"/>
    <w:rsid w:val="00CD41C2"/>
    <w:rsid w:val="00CD4647"/>
    <w:rsid w:val="00CD7484"/>
    <w:rsid w:val="00CE00F3"/>
    <w:rsid w:val="00CE06FC"/>
    <w:rsid w:val="00CE4335"/>
    <w:rsid w:val="00D03331"/>
    <w:rsid w:val="00D04A33"/>
    <w:rsid w:val="00D062FA"/>
    <w:rsid w:val="00D073EA"/>
    <w:rsid w:val="00D07A87"/>
    <w:rsid w:val="00D110BB"/>
    <w:rsid w:val="00D12776"/>
    <w:rsid w:val="00D12ABA"/>
    <w:rsid w:val="00D12D35"/>
    <w:rsid w:val="00D160F4"/>
    <w:rsid w:val="00D16BE4"/>
    <w:rsid w:val="00D2092D"/>
    <w:rsid w:val="00D30EB1"/>
    <w:rsid w:val="00D31AFE"/>
    <w:rsid w:val="00D332D6"/>
    <w:rsid w:val="00D346FC"/>
    <w:rsid w:val="00D351C9"/>
    <w:rsid w:val="00D35444"/>
    <w:rsid w:val="00D35A08"/>
    <w:rsid w:val="00D3691D"/>
    <w:rsid w:val="00D371C4"/>
    <w:rsid w:val="00D4251B"/>
    <w:rsid w:val="00D42657"/>
    <w:rsid w:val="00D471D1"/>
    <w:rsid w:val="00D50239"/>
    <w:rsid w:val="00D50E81"/>
    <w:rsid w:val="00D577A0"/>
    <w:rsid w:val="00D634D8"/>
    <w:rsid w:val="00D63C2D"/>
    <w:rsid w:val="00D651FF"/>
    <w:rsid w:val="00D7008E"/>
    <w:rsid w:val="00D70197"/>
    <w:rsid w:val="00D71DEB"/>
    <w:rsid w:val="00D73882"/>
    <w:rsid w:val="00D754A6"/>
    <w:rsid w:val="00D80609"/>
    <w:rsid w:val="00D82BB6"/>
    <w:rsid w:val="00D933BC"/>
    <w:rsid w:val="00D96CBF"/>
    <w:rsid w:val="00DA100A"/>
    <w:rsid w:val="00DA25AD"/>
    <w:rsid w:val="00DA73E5"/>
    <w:rsid w:val="00DB0090"/>
    <w:rsid w:val="00DB1679"/>
    <w:rsid w:val="00DB7777"/>
    <w:rsid w:val="00DC2F1C"/>
    <w:rsid w:val="00DC2F84"/>
    <w:rsid w:val="00DC4BA2"/>
    <w:rsid w:val="00DD038D"/>
    <w:rsid w:val="00DD4C8D"/>
    <w:rsid w:val="00DD7FB4"/>
    <w:rsid w:val="00DF11F3"/>
    <w:rsid w:val="00DF1C7E"/>
    <w:rsid w:val="00DF2CF8"/>
    <w:rsid w:val="00DF4AB0"/>
    <w:rsid w:val="00DF66EE"/>
    <w:rsid w:val="00E00371"/>
    <w:rsid w:val="00E07A31"/>
    <w:rsid w:val="00E07C58"/>
    <w:rsid w:val="00E17346"/>
    <w:rsid w:val="00E2219B"/>
    <w:rsid w:val="00E22461"/>
    <w:rsid w:val="00E23047"/>
    <w:rsid w:val="00E23270"/>
    <w:rsid w:val="00E23833"/>
    <w:rsid w:val="00E2596F"/>
    <w:rsid w:val="00E309FD"/>
    <w:rsid w:val="00E34DD0"/>
    <w:rsid w:val="00E403D4"/>
    <w:rsid w:val="00E50150"/>
    <w:rsid w:val="00E5049F"/>
    <w:rsid w:val="00E61308"/>
    <w:rsid w:val="00E61E70"/>
    <w:rsid w:val="00E61EE5"/>
    <w:rsid w:val="00E64653"/>
    <w:rsid w:val="00E67E38"/>
    <w:rsid w:val="00E76995"/>
    <w:rsid w:val="00E80E43"/>
    <w:rsid w:val="00E8311C"/>
    <w:rsid w:val="00E85437"/>
    <w:rsid w:val="00E87A04"/>
    <w:rsid w:val="00E922B4"/>
    <w:rsid w:val="00E94534"/>
    <w:rsid w:val="00E97970"/>
    <w:rsid w:val="00EA4003"/>
    <w:rsid w:val="00EB0151"/>
    <w:rsid w:val="00EB2B49"/>
    <w:rsid w:val="00EB7ED2"/>
    <w:rsid w:val="00EC43C8"/>
    <w:rsid w:val="00EC6520"/>
    <w:rsid w:val="00ED12D7"/>
    <w:rsid w:val="00ED1806"/>
    <w:rsid w:val="00ED296A"/>
    <w:rsid w:val="00ED3F02"/>
    <w:rsid w:val="00ED457C"/>
    <w:rsid w:val="00EE0B92"/>
    <w:rsid w:val="00EE0F0E"/>
    <w:rsid w:val="00EE19C9"/>
    <w:rsid w:val="00EE45C3"/>
    <w:rsid w:val="00EE68D2"/>
    <w:rsid w:val="00EF14B7"/>
    <w:rsid w:val="00EF44AD"/>
    <w:rsid w:val="00F014F8"/>
    <w:rsid w:val="00F05715"/>
    <w:rsid w:val="00F13937"/>
    <w:rsid w:val="00F141F1"/>
    <w:rsid w:val="00F17267"/>
    <w:rsid w:val="00F237B1"/>
    <w:rsid w:val="00F2468D"/>
    <w:rsid w:val="00F27587"/>
    <w:rsid w:val="00F307F9"/>
    <w:rsid w:val="00F3131F"/>
    <w:rsid w:val="00F31BE4"/>
    <w:rsid w:val="00F32538"/>
    <w:rsid w:val="00F34A00"/>
    <w:rsid w:val="00F34D93"/>
    <w:rsid w:val="00F413B3"/>
    <w:rsid w:val="00F46C9B"/>
    <w:rsid w:val="00F50F82"/>
    <w:rsid w:val="00F535FA"/>
    <w:rsid w:val="00F61472"/>
    <w:rsid w:val="00F618F0"/>
    <w:rsid w:val="00F62AEB"/>
    <w:rsid w:val="00F65201"/>
    <w:rsid w:val="00F66A6D"/>
    <w:rsid w:val="00F707BD"/>
    <w:rsid w:val="00F72010"/>
    <w:rsid w:val="00F76279"/>
    <w:rsid w:val="00F76428"/>
    <w:rsid w:val="00F77798"/>
    <w:rsid w:val="00F77B4D"/>
    <w:rsid w:val="00F820F7"/>
    <w:rsid w:val="00F82F19"/>
    <w:rsid w:val="00F83A44"/>
    <w:rsid w:val="00F85C22"/>
    <w:rsid w:val="00F86B12"/>
    <w:rsid w:val="00F87AC6"/>
    <w:rsid w:val="00F9126D"/>
    <w:rsid w:val="00F91B05"/>
    <w:rsid w:val="00F94E53"/>
    <w:rsid w:val="00F979AC"/>
    <w:rsid w:val="00FA5A8C"/>
    <w:rsid w:val="00FA6353"/>
    <w:rsid w:val="00FB32DE"/>
    <w:rsid w:val="00FB3951"/>
    <w:rsid w:val="00FB7A50"/>
    <w:rsid w:val="00FC0DF5"/>
    <w:rsid w:val="00FC44B5"/>
    <w:rsid w:val="00FC60F3"/>
    <w:rsid w:val="00FC6127"/>
    <w:rsid w:val="00FC7A4D"/>
    <w:rsid w:val="00FD08A0"/>
    <w:rsid w:val="00FD2E42"/>
    <w:rsid w:val="00FD4AA6"/>
    <w:rsid w:val="00FE29AF"/>
    <w:rsid w:val="00FE2B9E"/>
    <w:rsid w:val="00FE6123"/>
    <w:rsid w:val="00FE6555"/>
    <w:rsid w:val="00FF188C"/>
    <w:rsid w:val="00FF2A73"/>
    <w:rsid w:val="00FF3A60"/>
    <w:rsid w:val="00FF51E1"/>
    <w:rsid w:val="00FF5702"/>
    <w:rsid w:val="1B096B7B"/>
    <w:rsid w:val="7A130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1"/>
    <w:uiPriority w:val="0"/>
    <w:pPr>
      <w:jc w:val="left"/>
    </w:pPr>
  </w:style>
  <w:style w:type="paragraph" w:styleId="4">
    <w:name w:val="Body Text Indent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Body Text Indent 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2"/>
    <w:qFormat/>
    <w:uiPriority w:val="0"/>
    <w:rPr>
      <w:b/>
      <w:bCs/>
    </w:rPr>
  </w:style>
  <w:style w:type="table" w:styleId="11">
    <w:name w:val="Table Grid"/>
    <w:basedOn w:val="10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qFormat/>
    <w:uiPriority w:val="22"/>
    <w:rPr>
      <w:b/>
      <w:bCs/>
    </w:rPr>
  </w:style>
  <w:style w:type="character" w:styleId="14">
    <w:name w:val="FollowedHyperlink"/>
    <w:basedOn w:val="12"/>
    <w:qFormat/>
    <w:uiPriority w:val="0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5">
    <w:name w:val="Hyperlink"/>
    <w:qFormat/>
    <w:uiPriority w:val="0"/>
    <w:rPr>
      <w:color w:val="0068B7"/>
      <w:u w:val="none"/>
    </w:rPr>
  </w:style>
  <w:style w:type="character" w:styleId="16">
    <w:name w:val="annotation reference"/>
    <w:basedOn w:val="12"/>
    <w:qFormat/>
    <w:uiPriority w:val="0"/>
    <w:rPr>
      <w:sz w:val="21"/>
      <w:szCs w:val="21"/>
    </w:rPr>
  </w:style>
  <w:style w:type="character" w:customStyle="1" w:styleId="17">
    <w:name w:val="141"/>
    <w:qFormat/>
    <w:uiPriority w:val="0"/>
    <w:rPr>
      <w:sz w:val="21"/>
      <w:szCs w:val="21"/>
    </w:rPr>
  </w:style>
  <w:style w:type="character" w:customStyle="1" w:styleId="18">
    <w:name w:val="ztag pre"/>
    <w:basedOn w:val="12"/>
    <w:qFormat/>
    <w:uiPriority w:val="0"/>
  </w:style>
  <w:style w:type="character" w:customStyle="1" w:styleId="19">
    <w:name w:val="已访问的超链接1"/>
    <w:qFormat/>
    <w:uiPriority w:val="0"/>
    <w:rPr>
      <w:color w:val="800080"/>
      <w:u w:val="single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批注文字 字符"/>
    <w:basedOn w:val="12"/>
    <w:link w:val="3"/>
    <w:qFormat/>
    <w:uiPriority w:val="0"/>
    <w:rPr>
      <w:kern w:val="2"/>
      <w:sz w:val="21"/>
      <w:szCs w:val="24"/>
    </w:rPr>
  </w:style>
  <w:style w:type="character" w:customStyle="1" w:styleId="22">
    <w:name w:val="批注主题 字符"/>
    <w:basedOn w:val="21"/>
    <w:link w:val="9"/>
    <w:qFormat/>
    <w:uiPriority w:val="0"/>
    <w:rPr>
      <w:b/>
      <w:bCs/>
      <w:kern w:val="2"/>
      <w:sz w:val="21"/>
      <w:szCs w:val="24"/>
    </w:rPr>
  </w:style>
  <w:style w:type="paragraph" w:customStyle="1" w:styleId="2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420</Words>
  <Characters>2399</Characters>
  <Lines>19</Lines>
  <Paragraphs>5</Paragraphs>
  <TotalTime>0</TotalTime>
  <ScaleCrop>false</ScaleCrop>
  <LinksUpToDate>false</LinksUpToDate>
  <CharactersWithSpaces>2814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2019-12-16T10:08:00Z</dcterms:created>
  <dc:creator>全美国际教育协会</dc:creator>
  <cp:lastModifiedBy>Julia</cp:lastModifiedBy>
  <cp:lastPrinted>2011-12-16T08:54:00Z</cp:lastPrinted>
  <dcterms:modified xsi:type="dcterms:W3CDTF">2019-12-27T03:06:33Z</dcterms:modified>
  <dc:title>加州大学河滨分校短期访学项目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