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line="360" w:lineRule="auto"/>
        <w:jc w:val="center"/>
        <w:rPr>
          <w:rFonts w:asciiTheme="minorHAnsi" w:hAnsiTheme="minorHAnsi" w:eastAsiaTheme="majorEastAsia" w:cstheme="minorHAnsi"/>
          <w:b/>
          <w:kern w:val="0"/>
          <w:sz w:val="32"/>
          <w:szCs w:val="21"/>
        </w:rPr>
      </w:pPr>
      <w:r>
        <w:rPr>
          <w:rFonts w:hint="eastAsia" w:asciiTheme="minorHAnsi" w:hAnsiTheme="minorHAnsi" w:eastAsiaTheme="majorEastAsia" w:cstheme="minorHAnsi"/>
          <w:b/>
          <w:kern w:val="0"/>
          <w:sz w:val="32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4330700</wp:posOffset>
            </wp:positionH>
            <wp:positionV relativeFrom="paragraph">
              <wp:posOffset>0</wp:posOffset>
            </wp:positionV>
            <wp:extent cx="857250" cy="299720"/>
            <wp:effectExtent l="0" t="0" r="0" b="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299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spacing w:line="360" w:lineRule="auto"/>
        <w:jc w:val="center"/>
        <w:rPr>
          <w:rFonts w:asciiTheme="minorHAnsi" w:hAnsiTheme="minorHAnsi" w:eastAsiaTheme="majorEastAsia" w:cstheme="minorHAnsi"/>
          <w:b/>
          <w:kern w:val="0"/>
          <w:sz w:val="32"/>
          <w:szCs w:val="21"/>
        </w:rPr>
      </w:pPr>
    </w:p>
    <w:p>
      <w:pPr>
        <w:widowControl/>
        <w:spacing w:line="360" w:lineRule="auto"/>
        <w:jc w:val="center"/>
        <w:rPr>
          <w:rFonts w:asciiTheme="minorHAnsi" w:hAnsiTheme="minorHAnsi" w:eastAsiaTheme="majorEastAsia" w:cstheme="minorHAnsi"/>
          <w:b/>
          <w:kern w:val="0"/>
          <w:sz w:val="32"/>
          <w:szCs w:val="21"/>
        </w:rPr>
      </w:pPr>
      <w:r>
        <w:rPr>
          <w:rFonts w:hint="eastAsia" w:asciiTheme="minorHAnsi" w:hAnsiTheme="minorHAnsi" w:eastAsiaTheme="majorEastAsia" w:cstheme="minorHAnsi"/>
          <w:b/>
          <w:kern w:val="0"/>
          <w:sz w:val="32"/>
          <w:szCs w:val="21"/>
        </w:rPr>
        <w:t>美国</w:t>
      </w:r>
      <w:r>
        <w:rPr>
          <w:rFonts w:asciiTheme="minorHAnsi" w:hAnsiTheme="minorHAnsi" w:eastAsiaTheme="majorEastAsia" w:cstheme="minorHAnsi"/>
          <w:b/>
          <w:kern w:val="0"/>
          <w:sz w:val="32"/>
          <w:szCs w:val="21"/>
        </w:rPr>
        <w:t>哥伦比亚大学</w:t>
      </w:r>
    </w:p>
    <w:p>
      <w:pPr>
        <w:widowControl/>
        <w:spacing w:line="360" w:lineRule="auto"/>
        <w:jc w:val="center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b/>
          <w:kern w:val="0"/>
          <w:sz w:val="32"/>
          <w:szCs w:val="21"/>
        </w:rPr>
        <w:t>2020暑期访学项目</w:t>
      </w:r>
    </w:p>
    <w:p>
      <w:pPr>
        <w:widowControl/>
        <w:spacing w:line="360" w:lineRule="auto"/>
        <w:jc w:val="center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asciiTheme="minorHAnsi" w:hAnsiTheme="minorHAnsi" w:eastAsiaTheme="majorEastAsia" w:cstheme="minorHAnsi"/>
          <w:b/>
          <w:kern w:val="0"/>
          <w:sz w:val="32"/>
          <w:szCs w:val="21"/>
        </w:rPr>
        <w:t xml:space="preserve">Columbia </w:t>
      </w:r>
      <w:r>
        <w:rPr>
          <w:rFonts w:hint="eastAsia" w:asciiTheme="minorHAnsi" w:hAnsiTheme="minorHAnsi" w:eastAsiaTheme="majorEastAsia" w:cstheme="minorHAnsi"/>
          <w:b/>
          <w:kern w:val="0"/>
          <w:sz w:val="32"/>
          <w:szCs w:val="21"/>
        </w:rPr>
        <w:t>U</w:t>
      </w:r>
      <w:r>
        <w:rPr>
          <w:rFonts w:asciiTheme="minorHAnsi" w:hAnsiTheme="minorHAnsi" w:eastAsiaTheme="majorEastAsia" w:cstheme="minorHAnsi"/>
          <w:b/>
          <w:kern w:val="0"/>
          <w:sz w:val="32"/>
          <w:szCs w:val="21"/>
        </w:rPr>
        <w:t>niversity</w:t>
      </w:r>
    </w:p>
    <w:p>
      <w:pPr>
        <w:widowControl/>
        <w:spacing w:line="360" w:lineRule="auto"/>
        <w:jc w:val="center"/>
        <w:rPr>
          <w:rFonts w:cs="Calibri" w:asciiTheme="minorHAnsi" w:hAnsiTheme="minorHAnsi"/>
          <w:b/>
          <w:kern w:val="0"/>
          <w:szCs w:val="21"/>
        </w:rPr>
      </w:pPr>
      <w:r>
        <w:rPr>
          <w:rFonts w:hint="eastAsia" w:cs="Calibri" w:asciiTheme="minorHAnsi" w:hAnsiTheme="minorHAnsi"/>
          <w:b/>
          <w:kern w:val="0"/>
          <w:szCs w:val="21"/>
        </w:rPr>
        <w:t>语言文化课程：</w:t>
      </w:r>
      <w:r>
        <w:rPr>
          <w:rFonts w:asciiTheme="minorHAnsi" w:hAnsiTheme="minorHAnsi" w:eastAsiaTheme="majorEastAsia" w:cstheme="minorHAnsi"/>
          <w:b/>
          <w:szCs w:val="21"/>
        </w:rPr>
        <w:t>2020年</w:t>
      </w:r>
      <w:r>
        <w:rPr>
          <w:rFonts w:hint="eastAsia" w:asciiTheme="minorHAnsi" w:hAnsiTheme="minorHAnsi" w:eastAsiaTheme="majorEastAsia" w:cstheme="minorHAnsi"/>
          <w:b/>
          <w:szCs w:val="21"/>
        </w:rPr>
        <w:t>6</w:t>
      </w:r>
      <w:r>
        <w:rPr>
          <w:rFonts w:asciiTheme="minorHAnsi" w:hAnsiTheme="minorHAnsi" w:eastAsiaTheme="majorEastAsia" w:cstheme="minorHAnsi"/>
          <w:b/>
          <w:szCs w:val="21"/>
        </w:rPr>
        <w:t>月2</w:t>
      </w:r>
      <w:r>
        <w:rPr>
          <w:rFonts w:hint="eastAsia" w:asciiTheme="minorHAnsi" w:hAnsiTheme="minorHAnsi" w:eastAsiaTheme="majorEastAsia" w:cstheme="minorHAnsi"/>
          <w:b/>
          <w:szCs w:val="21"/>
        </w:rPr>
        <w:t>2</w:t>
      </w:r>
      <w:r>
        <w:rPr>
          <w:rFonts w:asciiTheme="minorHAnsi" w:hAnsiTheme="minorHAnsi" w:eastAsiaTheme="majorEastAsia" w:cstheme="minorHAnsi"/>
          <w:b/>
          <w:szCs w:val="21"/>
        </w:rPr>
        <w:t xml:space="preserve">日 </w:t>
      </w:r>
      <w:r>
        <w:rPr>
          <w:rFonts w:hint="eastAsia" w:asciiTheme="minorHAnsi" w:hAnsiTheme="minorHAnsi" w:eastAsiaTheme="majorEastAsia" w:cstheme="minorHAnsi"/>
          <w:b/>
          <w:szCs w:val="21"/>
        </w:rPr>
        <w:t>- 7</w:t>
      </w:r>
      <w:r>
        <w:rPr>
          <w:rFonts w:asciiTheme="minorHAnsi" w:hAnsiTheme="minorHAnsi" w:eastAsiaTheme="majorEastAsia" w:cstheme="minorHAnsi"/>
          <w:b/>
          <w:szCs w:val="21"/>
        </w:rPr>
        <w:t>月1</w:t>
      </w:r>
      <w:r>
        <w:rPr>
          <w:rFonts w:hint="eastAsia" w:asciiTheme="minorHAnsi" w:hAnsiTheme="minorHAnsi" w:eastAsiaTheme="majorEastAsia" w:cstheme="minorHAnsi"/>
          <w:b/>
          <w:szCs w:val="21"/>
        </w:rPr>
        <w:t>7</w:t>
      </w:r>
      <w:r>
        <w:rPr>
          <w:rFonts w:asciiTheme="minorHAnsi" w:hAnsiTheme="minorHAnsi" w:eastAsiaTheme="majorEastAsia" w:cstheme="minorHAnsi"/>
          <w:b/>
          <w:szCs w:val="21"/>
        </w:rPr>
        <w:t>日</w:t>
      </w:r>
      <w:r>
        <w:rPr>
          <w:rFonts w:hint="eastAsia" w:asciiTheme="minorHAnsi" w:hAnsiTheme="minorHAnsi" w:eastAsiaTheme="majorEastAsia" w:cstheme="minorHAnsi"/>
          <w:b/>
          <w:szCs w:val="21"/>
        </w:rPr>
        <w:t xml:space="preserve">，或7月20日 </w:t>
      </w:r>
      <w:r>
        <w:rPr>
          <w:rFonts w:asciiTheme="minorHAnsi" w:hAnsiTheme="minorHAnsi" w:eastAsiaTheme="majorEastAsia" w:cstheme="minorHAnsi"/>
          <w:b/>
          <w:szCs w:val="21"/>
        </w:rPr>
        <w:t xml:space="preserve">– </w:t>
      </w:r>
      <w:r>
        <w:rPr>
          <w:rFonts w:hint="eastAsia" w:asciiTheme="minorHAnsi" w:hAnsiTheme="minorHAnsi" w:eastAsiaTheme="majorEastAsia" w:cstheme="minorHAnsi"/>
          <w:b/>
          <w:szCs w:val="21"/>
        </w:rPr>
        <w:t>8月14日</w:t>
      </w:r>
    </w:p>
    <w:p>
      <w:pPr>
        <w:widowControl/>
        <w:spacing w:line="360" w:lineRule="auto"/>
        <w:jc w:val="center"/>
        <w:rPr>
          <w:szCs w:val="21"/>
        </w:rPr>
      </w:pPr>
      <w:r>
        <w:rPr>
          <w:rFonts w:hint="eastAsia" w:cs="Calibri" w:asciiTheme="minorHAnsi" w:hAnsiTheme="minorHAnsi"/>
          <w:b/>
          <w:kern w:val="0"/>
          <w:szCs w:val="21"/>
        </w:rPr>
        <w:t>大学专业学分课程：2020年7月6日 -</w:t>
      </w:r>
      <w:r>
        <w:rPr>
          <w:rFonts w:cs="Calibri" w:asciiTheme="minorHAnsi" w:hAnsiTheme="minorHAnsi"/>
          <w:b/>
          <w:kern w:val="0"/>
          <w:szCs w:val="21"/>
        </w:rPr>
        <w:t xml:space="preserve"> </w:t>
      </w:r>
      <w:r>
        <w:rPr>
          <w:rFonts w:hint="eastAsia" w:cs="Calibri" w:asciiTheme="minorHAnsi" w:hAnsiTheme="minorHAnsi"/>
          <w:b/>
          <w:kern w:val="0"/>
          <w:szCs w:val="21"/>
        </w:rPr>
        <w:t>8月</w:t>
      </w:r>
      <w:r>
        <w:rPr>
          <w:rFonts w:cs="Calibri" w:asciiTheme="minorHAnsi" w:hAnsiTheme="minorHAnsi"/>
          <w:b/>
          <w:kern w:val="0"/>
          <w:szCs w:val="21"/>
        </w:rPr>
        <w:t>1</w:t>
      </w:r>
      <w:r>
        <w:rPr>
          <w:rFonts w:hint="eastAsia" w:cs="Calibri" w:asciiTheme="minorHAnsi" w:hAnsiTheme="minorHAnsi"/>
          <w:b/>
          <w:kern w:val="0"/>
          <w:szCs w:val="21"/>
        </w:rPr>
        <w:t>4日</w:t>
      </w: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kern w:val="0"/>
          <w:szCs w:val="21"/>
        </w:rPr>
      </w:pPr>
    </w:p>
    <w:p>
      <w:pPr>
        <w:pStyle w:val="17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b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b/>
          <w:kern w:val="0"/>
          <w:szCs w:val="21"/>
        </w:rPr>
        <w:t>项目综述</w:t>
      </w:r>
    </w:p>
    <w:p>
      <w:pPr>
        <w:pStyle w:val="17"/>
        <w:widowControl/>
        <w:spacing w:line="360" w:lineRule="auto"/>
        <w:ind w:left="420" w:firstLine="0" w:firstLineChars="0"/>
        <w:jc w:val="left"/>
        <w:rPr>
          <w:rFonts w:asciiTheme="minorHAnsi" w:hAnsiTheme="minorHAnsi" w:cstheme="minorHAnsi"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哥伦比亚大学</w:t>
      </w:r>
      <w:r>
        <w:rPr>
          <w:rFonts w:hint="eastAsia" w:asciiTheme="minorHAnsi" w:hAnsiTheme="minorHAnsi" w:cstheme="minorHAnsi"/>
          <w:kern w:val="0"/>
          <w:szCs w:val="21"/>
        </w:rPr>
        <w:t>是美国历史最悠久的大学之一，与耶鲁、哈佛、普林斯顿、康乃尔等</w:t>
      </w:r>
    </w:p>
    <w:p>
      <w:pPr>
        <w:widowControl/>
        <w:spacing w:line="360" w:lineRule="auto"/>
        <w:jc w:val="left"/>
        <w:rPr>
          <w:rFonts w:asciiTheme="minorHAnsi" w:hAnsiTheme="minorHAnsi" w:cstheme="minorHAnsi"/>
          <w:kern w:val="0"/>
          <w:szCs w:val="21"/>
        </w:rPr>
      </w:pPr>
      <w:r>
        <w:rPr>
          <w:rFonts w:hint="eastAsia" w:asciiTheme="minorHAnsi" w:hAnsiTheme="minorHAnsi" w:cstheme="minorHAnsi"/>
          <w:kern w:val="0"/>
          <w:szCs w:val="21"/>
        </w:rPr>
        <w:t>所大学共同组成“常春藤联盟”，成为世界顶尖学府的代名词。参加哥伦比亚大学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暑期访学项目的学生，</w:t>
      </w:r>
      <w:r>
        <w:rPr>
          <w:rFonts w:asciiTheme="minorHAnsi" w:hAnsiTheme="minorHAnsi" w:eastAsiaTheme="majorEastAsia" w:cstheme="minorHAnsi"/>
          <w:szCs w:val="21"/>
        </w:rPr>
        <w:t>根据学习目标、英</w:t>
      </w:r>
      <w:r>
        <w:rPr>
          <w:rFonts w:hint="eastAsia" w:asciiTheme="minorHAnsi" w:hAnsiTheme="minorHAnsi" w:eastAsiaTheme="majorEastAsia" w:cstheme="minorHAnsi"/>
          <w:szCs w:val="21"/>
        </w:rPr>
        <w:t>语</w:t>
      </w:r>
      <w:r>
        <w:rPr>
          <w:rFonts w:asciiTheme="minorHAnsi" w:hAnsiTheme="minorHAnsi" w:eastAsiaTheme="majorEastAsia" w:cstheme="minorHAnsi"/>
          <w:szCs w:val="21"/>
        </w:rPr>
        <w:t>水平和专业背景的不同，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可选择美国语言文化课程或大学专业学分课程</w:t>
      </w:r>
      <w:r>
        <w:rPr>
          <w:rFonts w:hint="eastAsia" w:asciiTheme="minorHAnsi" w:hAnsiTheme="minorHAnsi"/>
        </w:rPr>
        <w:t>。</w:t>
      </w:r>
    </w:p>
    <w:p>
      <w:pPr>
        <w:pStyle w:val="17"/>
        <w:widowControl/>
        <w:spacing w:line="360" w:lineRule="auto"/>
        <w:ind w:left="420" w:firstLine="0" w:firstLineChars="0"/>
        <w:jc w:val="left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全美国际教育协会作为哥伦比亚大学在中国的正式授权机构，负责选拔优秀中国大学</w:t>
      </w: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生，于2020年暑期前往哥伦比亚大学参加访学项目。项目学生将与其它国际学生或在读学生混班上课，</w:t>
      </w:r>
      <w:r>
        <w:rPr>
          <w:rFonts w:hint="eastAsia" w:asciiTheme="minorHAnsi" w:hAnsiTheme="minorHAnsi" w:eastAsiaTheme="majorEastAsia" w:cstheme="minorHAnsi"/>
          <w:szCs w:val="21"/>
        </w:rPr>
        <w:t>由哥伦比亚大学进行统一的学术管理与学术考核，获得哥伦比亚大学正式成绩单。通过强化学习，学生可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迅速提升自身的英语水平与专业学术技能，同时体验美国的社会与文化。</w:t>
      </w: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szCs w:val="21"/>
        </w:r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361950</wp:posOffset>
            </wp:positionH>
            <wp:positionV relativeFrom="paragraph">
              <wp:posOffset>153035</wp:posOffset>
            </wp:positionV>
            <wp:extent cx="4502150" cy="2402205"/>
            <wp:effectExtent l="0" t="0" r="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215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kern w:val="0"/>
          <w:szCs w:val="21"/>
        </w:rPr>
      </w:pPr>
    </w:p>
    <w:p>
      <w:pPr>
        <w:widowControl/>
        <w:spacing w:line="360" w:lineRule="auto"/>
        <w:ind w:firstLine="420"/>
        <w:jc w:val="left"/>
        <w:rPr>
          <w:rFonts w:asciiTheme="minorHAnsi" w:hAnsiTheme="minorHAnsi" w:eastAsiaTheme="majorEastAsia" w:cstheme="minorHAnsi"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bCs/>
          <w:kern w:val="0"/>
          <w:szCs w:val="21"/>
        </w:rPr>
      </w:pPr>
    </w:p>
    <w:p>
      <w:pPr>
        <w:widowControl/>
        <w:spacing w:line="360" w:lineRule="auto"/>
        <w:ind w:left="510"/>
        <w:jc w:val="left"/>
        <w:rPr>
          <w:rFonts w:asciiTheme="minorHAnsi" w:hAnsiTheme="minorHAnsi" w:eastAsiaTheme="majorEastAsia" w:cstheme="minorHAnsi"/>
          <w:b/>
          <w:bCs/>
          <w:kern w:val="0"/>
          <w:szCs w:val="21"/>
          <w:highlight w:val="lightGray"/>
        </w:rPr>
      </w:pPr>
    </w:p>
    <w:p>
      <w:pPr>
        <w:widowControl/>
        <w:spacing w:line="360" w:lineRule="auto"/>
        <w:ind w:left="510"/>
        <w:jc w:val="left"/>
        <w:rPr>
          <w:rFonts w:asciiTheme="minorHAnsi" w:hAnsiTheme="minorHAnsi" w:eastAsiaTheme="majorEastAsia" w:cstheme="minorHAnsi"/>
          <w:b/>
          <w:bCs/>
          <w:kern w:val="0"/>
          <w:szCs w:val="21"/>
          <w:highlight w:val="lightGray"/>
        </w:rPr>
      </w:pPr>
    </w:p>
    <w:p>
      <w:pPr>
        <w:widowControl/>
        <w:spacing w:line="360" w:lineRule="auto"/>
        <w:ind w:left="510"/>
        <w:jc w:val="left"/>
        <w:rPr>
          <w:rFonts w:asciiTheme="minorHAnsi" w:hAnsiTheme="minorHAnsi" w:eastAsiaTheme="majorEastAsia" w:cstheme="minorHAnsi"/>
          <w:b/>
          <w:bCs/>
          <w:kern w:val="0"/>
          <w:szCs w:val="21"/>
          <w:highlight w:val="lightGray"/>
        </w:rPr>
      </w:pPr>
    </w:p>
    <w:p>
      <w:pPr>
        <w:widowControl/>
        <w:spacing w:line="360" w:lineRule="auto"/>
        <w:ind w:left="510"/>
        <w:jc w:val="left"/>
        <w:rPr>
          <w:rFonts w:asciiTheme="minorHAnsi" w:hAnsiTheme="minorHAnsi" w:eastAsiaTheme="majorEastAsia" w:cstheme="minorHAnsi"/>
          <w:b/>
          <w:bCs/>
          <w:kern w:val="0"/>
          <w:szCs w:val="21"/>
          <w:highlight w:val="lightGray"/>
        </w:rPr>
      </w:pPr>
    </w:p>
    <w:p>
      <w:pPr>
        <w:widowControl/>
        <w:spacing w:line="360" w:lineRule="auto"/>
        <w:ind w:left="510"/>
        <w:jc w:val="left"/>
        <w:rPr>
          <w:rFonts w:asciiTheme="minorHAnsi" w:hAnsiTheme="minorHAnsi" w:eastAsiaTheme="majorEastAsia" w:cstheme="minorHAnsi"/>
          <w:b/>
          <w:bCs/>
          <w:kern w:val="0"/>
          <w:szCs w:val="21"/>
          <w:highlight w:val="lightGray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bCs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</w:rPr>
        <w:t>二、哥伦比亚大学简介</w:t>
      </w:r>
    </w:p>
    <w:p>
      <w:pPr>
        <w:pStyle w:val="17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Theme="minorHAnsi" w:hAnsiTheme="minorHAnsi" w:cstheme="minorHAnsi"/>
          <w:kern w:val="0"/>
          <w:szCs w:val="21"/>
        </w:rPr>
      </w:pPr>
      <w:r>
        <w:rPr>
          <w:rFonts w:asciiTheme="minorHAnsi" w:hAnsiTheme="minorHAnsi" w:cstheme="minorHAnsi"/>
          <w:kern w:val="0"/>
          <w:szCs w:val="21"/>
        </w:rPr>
        <w:t>创建于</w:t>
      </w:r>
      <w:r>
        <w:rPr>
          <w:rFonts w:hint="eastAsia" w:asciiTheme="minorHAnsi" w:hAnsiTheme="minorHAnsi" w:cstheme="minorHAnsi"/>
          <w:kern w:val="0"/>
          <w:szCs w:val="21"/>
        </w:rPr>
        <w:t>1754年，美国历史最悠久的五所大学之一，与耶鲁、哈佛、普林斯顿、康乃尔等八所大学共同组成“常春藤联盟 (Ivy League)”，是世界顶尖学府的代名词；</w:t>
      </w:r>
    </w:p>
    <w:p>
      <w:pPr>
        <w:pStyle w:val="17"/>
        <w:numPr>
          <w:ilvl w:val="0"/>
          <w:numId w:val="2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20</w:t>
      </w:r>
      <w:r>
        <w:rPr>
          <w:rFonts w:hint="eastAsia" w:asciiTheme="minorHAnsi" w:hAnsiTheme="minorHAnsi" w:eastAsiaTheme="majorEastAsia" w:cstheme="minorHAnsi"/>
          <w:szCs w:val="21"/>
        </w:rPr>
        <w:t>20</w:t>
      </w:r>
      <w:r>
        <w:rPr>
          <w:rFonts w:asciiTheme="minorHAnsi" w:hAnsiTheme="minorHAnsi" w:eastAsiaTheme="majorEastAsia" w:cstheme="minorHAnsi"/>
          <w:szCs w:val="21"/>
        </w:rPr>
        <w:t>年</w:t>
      </w:r>
      <w:r>
        <w:rPr>
          <w:rFonts w:asciiTheme="minorHAnsi" w:hAnsiTheme="minorHAnsi" w:cstheme="minorHAnsi"/>
          <w:kern w:val="0"/>
          <w:szCs w:val="21"/>
        </w:rPr>
        <w:t>《美国新闻与世界报道》</w:t>
      </w:r>
      <w:r>
        <w:rPr>
          <w:rFonts w:asciiTheme="minorHAnsi" w:hAnsiTheme="minorHAnsi" w:eastAsiaTheme="majorEastAsia" w:cstheme="minorHAnsi"/>
          <w:szCs w:val="21"/>
        </w:rPr>
        <w:t>全美高校综合排名位列第</w:t>
      </w:r>
      <w:r>
        <w:rPr>
          <w:rFonts w:hint="eastAsia" w:asciiTheme="minorHAnsi" w:hAnsiTheme="minorHAnsi" w:eastAsiaTheme="majorEastAsia" w:cstheme="minorHAnsi"/>
          <w:szCs w:val="21"/>
        </w:rPr>
        <w:t>3，</w:t>
      </w:r>
      <w:r>
        <w:rPr>
          <w:rFonts w:asciiTheme="minorHAnsi" w:hAnsiTheme="minorHAnsi" w:eastAsiaTheme="majorEastAsia" w:cstheme="minorHAnsi"/>
          <w:szCs w:val="21"/>
        </w:rPr>
        <w:t>全球大学排名位列第</w:t>
      </w:r>
      <w:r>
        <w:rPr>
          <w:rFonts w:hint="eastAsia" w:asciiTheme="minorHAnsi" w:hAnsiTheme="minorHAnsi" w:eastAsiaTheme="majorEastAsia" w:cstheme="minorHAnsi"/>
          <w:szCs w:val="21"/>
        </w:rPr>
        <w:t>7</w:t>
      </w:r>
      <w:r>
        <w:rPr>
          <w:rFonts w:asciiTheme="minorHAnsi" w:hAnsiTheme="minorHAnsi" w:eastAsiaTheme="majorEastAsia" w:cstheme="minorHAnsi"/>
          <w:szCs w:val="21"/>
        </w:rPr>
        <w:t>；</w:t>
      </w:r>
      <w:r>
        <w:rPr>
          <w:rFonts w:asciiTheme="minorHAnsi" w:hAnsiTheme="minorHAnsi" w:cstheme="minorHAnsi"/>
          <w:szCs w:val="21"/>
        </w:rPr>
        <w:t>20</w:t>
      </w:r>
      <w:r>
        <w:rPr>
          <w:rFonts w:hint="eastAsia" w:asciiTheme="minorHAnsi" w:hAnsiTheme="minorHAnsi" w:cstheme="minorHAnsi"/>
          <w:szCs w:val="21"/>
        </w:rPr>
        <w:t>20 年</w:t>
      </w:r>
      <w:r>
        <w:rPr>
          <w:rFonts w:asciiTheme="minorHAnsi" w:hAnsiTheme="minorHAnsi" w:cstheme="minorHAnsi"/>
          <w:szCs w:val="21"/>
        </w:rPr>
        <w:t>Times世界大学排名为列第</w:t>
      </w:r>
      <w:r>
        <w:rPr>
          <w:rFonts w:asciiTheme="minorHAnsi" w:hAnsiTheme="minorHAnsi" w:eastAsiaTheme="majorEastAsia" w:cstheme="minorHAnsi"/>
          <w:szCs w:val="21"/>
        </w:rPr>
        <w:t>1</w:t>
      </w:r>
      <w:r>
        <w:rPr>
          <w:rFonts w:hint="eastAsia" w:asciiTheme="minorHAnsi" w:hAnsiTheme="minorHAnsi" w:eastAsiaTheme="majorEastAsia" w:cstheme="minorHAnsi"/>
          <w:szCs w:val="21"/>
        </w:rPr>
        <w:t>6；2019年</w:t>
      </w:r>
      <w:r>
        <w:rPr>
          <w:rFonts w:asciiTheme="minorHAnsi" w:hAnsiTheme="minorHAnsi" w:cstheme="minorHAnsi"/>
          <w:szCs w:val="21"/>
        </w:rPr>
        <w:t>上海交通大学</w:t>
      </w:r>
      <w:r>
        <w:rPr>
          <w:rFonts w:asciiTheme="minorHAnsi" w:hAnsiTheme="minorHAnsi" w:eastAsiaTheme="majorEastAsia" w:cstheme="minorHAnsi"/>
          <w:szCs w:val="21"/>
        </w:rPr>
        <w:t>全球高校学术排名位列第</w:t>
      </w:r>
      <w:r>
        <w:rPr>
          <w:rFonts w:hint="eastAsia" w:asciiTheme="minorHAnsi" w:hAnsiTheme="minorHAnsi" w:eastAsiaTheme="majorEastAsia" w:cstheme="minorHAnsi"/>
          <w:szCs w:val="21"/>
        </w:rPr>
        <w:t>8；</w:t>
      </w:r>
    </w:p>
    <w:p>
      <w:pPr>
        <w:pStyle w:val="17"/>
        <w:numPr>
          <w:ilvl w:val="0"/>
          <w:numId w:val="2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cstheme="minorHAnsi"/>
          <w:kern w:val="0"/>
          <w:szCs w:val="21"/>
        </w:rPr>
        <w:t>学校位于世界之都</w:t>
      </w:r>
      <w:r>
        <w:rPr>
          <w:rFonts w:asciiTheme="minorHAnsi" w:hAnsiTheme="minorHAnsi" w:cstheme="minorHAnsi"/>
          <w:kern w:val="0"/>
          <w:szCs w:val="21"/>
        </w:rPr>
        <w:t>--</w:t>
      </w:r>
      <w:r>
        <w:rPr>
          <w:rFonts w:hint="eastAsia" w:asciiTheme="minorHAnsi" w:hAnsiTheme="minorHAnsi" w:cstheme="minorHAnsi"/>
          <w:kern w:val="0"/>
          <w:szCs w:val="21"/>
        </w:rPr>
        <w:t>纽约曼哈顿，亦是奥巴马、胡适、徐志摩、李政道、蒙代尔、摩尔根等名人求学之地</w:t>
      </w:r>
      <w:r>
        <w:rPr>
          <w:rFonts w:asciiTheme="minorHAnsi" w:hAnsiTheme="minorHAnsi" w:cstheme="minorHAnsi"/>
          <w:kern w:val="0"/>
          <w:szCs w:val="21"/>
        </w:rPr>
        <w:t>。</w:t>
      </w:r>
      <w:r>
        <w:rPr>
          <w:rFonts w:hint="eastAsia" w:asciiTheme="minorHAnsi" w:hAnsiTheme="minorHAnsi" w:cstheme="minorHAnsi"/>
          <w:kern w:val="0"/>
          <w:szCs w:val="21"/>
        </w:rPr>
        <w:t>哥伦比亚的校友和教授中一共有96人获得过诺贝尔奖，包括奥巴马总统在内的三位美国总统是该校的毕业生。</w:t>
      </w:r>
    </w:p>
    <w:p>
      <w:pPr>
        <w:spacing w:line="360" w:lineRule="auto"/>
        <w:rPr>
          <w:rFonts w:asciiTheme="minorHAnsi" w:hAnsiTheme="minorHAnsi" w:eastAsiaTheme="majorEastAsia" w:cstheme="minorHAnsi"/>
          <w:kern w:val="0"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  <w:r>
        <w:rPr>
          <w:rFonts w:hint="eastAsia" w:asciiTheme="minorHAnsi" w:hAnsiTheme="minorHAnsi" w:eastAsiaTheme="majorEastAsia" w:cstheme="minorHAnsi"/>
          <w:b/>
          <w:szCs w:val="21"/>
        </w:rPr>
        <w:t>三、</w:t>
      </w:r>
      <w:r>
        <w:rPr>
          <w:rFonts w:asciiTheme="minorHAnsi" w:hAnsiTheme="minorHAnsi" w:eastAsiaTheme="majorEastAsia" w:cstheme="minorHAnsi"/>
          <w:b/>
          <w:szCs w:val="21"/>
        </w:rPr>
        <w:t>访学</w:t>
      </w:r>
      <w:r>
        <w:rPr>
          <w:rFonts w:hint="eastAsia" w:asciiTheme="minorHAnsi" w:hAnsiTheme="minorHAnsi" w:eastAsiaTheme="majorEastAsia" w:cstheme="minorHAnsi"/>
          <w:b/>
          <w:szCs w:val="21"/>
        </w:rPr>
        <w:t>项目介绍</w:t>
      </w:r>
    </w:p>
    <w:p>
      <w:pPr>
        <w:widowControl/>
        <w:spacing w:line="360" w:lineRule="auto"/>
        <w:jc w:val="left"/>
        <w:rPr>
          <w:rFonts w:cs="Calibri" w:asciiTheme="minorHAnsi" w:hAnsiTheme="minorHAnsi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项目概览</w:t>
      </w:r>
      <w:r>
        <w:rPr>
          <w:rFonts w:cs="Calibri" w:asciiTheme="minorHAnsi" w:hAnsiTheme="minorHAnsi"/>
          <w:szCs w:val="21"/>
        </w:rPr>
        <w:t>】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根据学习目标、英</w:t>
      </w:r>
      <w:r>
        <w:rPr>
          <w:rFonts w:hint="eastAsia" w:asciiTheme="minorHAnsi" w:hAnsiTheme="minorHAnsi" w:eastAsiaTheme="majorEastAsia" w:cstheme="minorHAnsi"/>
          <w:szCs w:val="21"/>
        </w:rPr>
        <w:t>语</w:t>
      </w:r>
      <w:r>
        <w:rPr>
          <w:rFonts w:asciiTheme="minorHAnsi" w:hAnsiTheme="minorHAnsi" w:eastAsiaTheme="majorEastAsia" w:cstheme="minorHAnsi"/>
          <w:szCs w:val="21"/>
        </w:rPr>
        <w:t>水平和专业背景的不同，</w:t>
      </w:r>
      <w:r>
        <w:rPr>
          <w:rFonts w:hint="eastAsia" w:asciiTheme="minorHAnsi" w:hAnsiTheme="minorHAnsi" w:eastAsiaTheme="majorEastAsia" w:cstheme="minorHAnsi"/>
          <w:szCs w:val="21"/>
        </w:rPr>
        <w:t>参加2020年暑期哥伦比亚大学访学项目的学生可选报两类课程</w:t>
      </w:r>
      <w:r>
        <w:rPr>
          <w:rFonts w:asciiTheme="minorHAnsi" w:hAnsiTheme="minorHAnsi" w:eastAsiaTheme="majorEastAsia" w:cstheme="minorHAnsi"/>
          <w:szCs w:val="21"/>
        </w:rPr>
        <w:t>：</w:t>
      </w:r>
      <w:r>
        <w:rPr>
          <w:rFonts w:hint="eastAsia" w:asciiTheme="minorHAnsi" w:hAnsiTheme="minorHAnsi" w:eastAsiaTheme="majorEastAsia" w:cstheme="minorHAnsi"/>
          <w:szCs w:val="21"/>
        </w:rPr>
        <w:t>语言文化课程与大学专业学分课程。参加项目的学生与哥伦比亚大学在读学生混合编班，由哥伦比亚大学进行统一的学术管理与学术考核，获得哥伦比亚大学正式成绩单。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  <w:r>
        <w:rPr>
          <w:rFonts w:hint="eastAsia" w:asciiTheme="minorHAnsi" w:hAnsiTheme="minorHAnsi" w:eastAsiaTheme="majorEastAsia" w:cstheme="minorHAnsi"/>
          <w:b/>
          <w:szCs w:val="21"/>
        </w:rPr>
        <w:t>第一类：强化学术英语课程（</w:t>
      </w:r>
      <w:r>
        <w:rPr>
          <w:rFonts w:asciiTheme="minorHAnsi" w:hAnsiTheme="minorHAnsi" w:eastAsiaTheme="majorEastAsia" w:cstheme="minorHAnsi"/>
          <w:b/>
          <w:szCs w:val="21"/>
        </w:rPr>
        <w:t>I</w:t>
      </w:r>
      <w:r>
        <w:rPr>
          <w:rFonts w:hint="eastAsia" w:asciiTheme="minorHAnsi" w:hAnsiTheme="minorHAnsi" w:eastAsiaTheme="majorEastAsia" w:cstheme="minorHAnsi"/>
          <w:b/>
          <w:szCs w:val="21"/>
        </w:rPr>
        <w:t>n</w:t>
      </w:r>
      <w:r>
        <w:rPr>
          <w:rFonts w:asciiTheme="minorHAnsi" w:hAnsiTheme="minorHAnsi" w:eastAsiaTheme="majorEastAsia" w:cstheme="minorHAnsi"/>
          <w:b/>
          <w:szCs w:val="21"/>
        </w:rPr>
        <w:t>tensive Academic English Program</w:t>
      </w:r>
      <w:r>
        <w:rPr>
          <w:rFonts w:hint="eastAsia" w:asciiTheme="minorHAnsi" w:hAnsiTheme="minorHAnsi" w:eastAsiaTheme="majorEastAsia" w:cstheme="minorHAnsi"/>
          <w:b/>
          <w:szCs w:val="21"/>
        </w:rPr>
        <w:t>）</w:t>
      </w:r>
    </w:p>
    <w:p>
      <w:pPr>
        <w:widowControl/>
        <w:spacing w:line="360" w:lineRule="auto"/>
        <w:jc w:val="left"/>
        <w:rPr>
          <w:rFonts w:cs="Calibri" w:asciiTheme="minorHAnsi" w:hAnsiTheme="minorHAnsi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课程日期</w:t>
      </w:r>
      <w:r>
        <w:rPr>
          <w:rFonts w:cs="Calibri" w:asciiTheme="minorHAnsi" w:hAnsiTheme="minorHAnsi"/>
          <w:szCs w:val="21"/>
        </w:rPr>
        <w:t>】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2020年</w:t>
      </w:r>
      <w:r>
        <w:rPr>
          <w:rFonts w:hint="eastAsia" w:asciiTheme="minorHAnsi" w:hAnsiTheme="minorHAnsi" w:eastAsiaTheme="majorEastAsia" w:cstheme="minorHAnsi"/>
          <w:szCs w:val="21"/>
        </w:rPr>
        <w:t>6</w:t>
      </w:r>
      <w:r>
        <w:rPr>
          <w:rFonts w:asciiTheme="minorHAnsi" w:hAnsiTheme="minorHAnsi" w:eastAsiaTheme="majorEastAsia" w:cstheme="minorHAnsi"/>
          <w:szCs w:val="21"/>
        </w:rPr>
        <w:t>月22日 –</w:t>
      </w:r>
      <w:r>
        <w:rPr>
          <w:rFonts w:hint="eastAsia" w:asciiTheme="minorHAnsi" w:hAnsiTheme="minorHAnsi" w:eastAsiaTheme="majorEastAsia" w:cstheme="minorHAnsi"/>
          <w:szCs w:val="21"/>
        </w:rPr>
        <w:t xml:space="preserve"> 7</w:t>
      </w:r>
      <w:r>
        <w:rPr>
          <w:rFonts w:asciiTheme="minorHAnsi" w:hAnsiTheme="minorHAnsi" w:eastAsiaTheme="majorEastAsia" w:cstheme="minorHAnsi"/>
          <w:szCs w:val="21"/>
        </w:rPr>
        <w:t>月</w:t>
      </w:r>
      <w:r>
        <w:rPr>
          <w:rFonts w:hint="eastAsia" w:asciiTheme="minorHAnsi" w:hAnsiTheme="minorHAnsi" w:eastAsiaTheme="majorEastAsia" w:cstheme="minorHAnsi"/>
          <w:szCs w:val="21"/>
        </w:rPr>
        <w:t>1</w:t>
      </w:r>
      <w:r>
        <w:rPr>
          <w:rFonts w:asciiTheme="minorHAnsi" w:hAnsiTheme="minorHAnsi" w:eastAsiaTheme="majorEastAsia" w:cstheme="minorHAnsi"/>
          <w:szCs w:val="21"/>
        </w:rPr>
        <w:t>7日（</w:t>
      </w:r>
      <w:r>
        <w:rPr>
          <w:rFonts w:hint="eastAsia" w:asciiTheme="minorHAnsi" w:hAnsiTheme="minorHAnsi" w:eastAsiaTheme="majorEastAsia" w:cstheme="minorHAnsi"/>
          <w:szCs w:val="21"/>
        </w:rPr>
        <w:t>4</w:t>
      </w:r>
      <w:r>
        <w:rPr>
          <w:rFonts w:asciiTheme="minorHAnsi" w:hAnsiTheme="minorHAnsi" w:eastAsiaTheme="majorEastAsia" w:cstheme="minorHAnsi"/>
          <w:szCs w:val="21"/>
        </w:rPr>
        <w:t>周）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20</w:t>
      </w:r>
      <w:r>
        <w:rPr>
          <w:rFonts w:asciiTheme="minorHAnsi" w:hAnsiTheme="minorHAnsi" w:eastAsiaTheme="majorEastAsia" w:cstheme="minorHAnsi"/>
          <w:szCs w:val="21"/>
        </w:rPr>
        <w:t>20</w:t>
      </w:r>
      <w:r>
        <w:rPr>
          <w:rFonts w:hint="eastAsia" w:asciiTheme="minorHAnsi" w:hAnsiTheme="minorHAnsi" w:eastAsiaTheme="majorEastAsia" w:cstheme="minorHAnsi"/>
          <w:szCs w:val="21"/>
        </w:rPr>
        <w:t>年7月</w:t>
      </w:r>
      <w:r>
        <w:rPr>
          <w:rFonts w:asciiTheme="minorHAnsi" w:hAnsiTheme="minorHAnsi" w:eastAsiaTheme="majorEastAsia" w:cstheme="minorHAnsi"/>
          <w:szCs w:val="21"/>
        </w:rPr>
        <w:t>20</w:t>
      </w:r>
      <w:r>
        <w:rPr>
          <w:rFonts w:hint="eastAsia" w:asciiTheme="minorHAnsi" w:hAnsiTheme="minorHAnsi" w:eastAsiaTheme="majorEastAsia" w:cstheme="minorHAnsi"/>
          <w:szCs w:val="21"/>
        </w:rPr>
        <w:t xml:space="preserve">日 </w:t>
      </w:r>
      <w:r>
        <w:rPr>
          <w:rFonts w:asciiTheme="minorHAnsi" w:hAnsiTheme="minorHAnsi" w:eastAsiaTheme="majorEastAsia" w:cstheme="minorHAnsi"/>
          <w:szCs w:val="21"/>
        </w:rPr>
        <w:t>–</w:t>
      </w:r>
      <w:r>
        <w:rPr>
          <w:rFonts w:hint="eastAsia" w:asciiTheme="minorHAnsi" w:hAnsiTheme="minorHAnsi" w:eastAsiaTheme="majorEastAsia" w:cstheme="minorHAnsi"/>
          <w:szCs w:val="21"/>
        </w:rPr>
        <w:t xml:space="preserve"> 8月</w:t>
      </w:r>
      <w:r>
        <w:rPr>
          <w:rFonts w:asciiTheme="minorHAnsi" w:hAnsiTheme="minorHAnsi" w:eastAsiaTheme="majorEastAsia" w:cstheme="minorHAnsi"/>
          <w:szCs w:val="21"/>
        </w:rPr>
        <w:t>14</w:t>
      </w:r>
      <w:r>
        <w:rPr>
          <w:rFonts w:hint="eastAsia" w:asciiTheme="minorHAnsi" w:hAnsiTheme="minorHAnsi" w:eastAsiaTheme="majorEastAsia" w:cstheme="minorHAnsi"/>
          <w:szCs w:val="21"/>
        </w:rPr>
        <w:t>日（4周）</w:t>
      </w:r>
    </w:p>
    <w:p>
      <w:pPr>
        <w:spacing w:line="360" w:lineRule="auto"/>
        <w:rPr>
          <w:rFonts w:asciiTheme="minorHAnsi" w:hAnsiTheme="minorHAnsi" w:eastAsiaTheme="majorEastAsia" w:cstheme="minorHAnsi"/>
          <w:b/>
          <w:bCs/>
          <w:kern w:val="0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课程内容</w:t>
      </w:r>
      <w:r>
        <w:rPr>
          <w:rFonts w:cs="Calibri" w:asciiTheme="minorHAnsi" w:hAnsiTheme="minorHAnsi"/>
          <w:szCs w:val="21"/>
        </w:rPr>
        <w:t>】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asciiTheme="minorHAnsi" w:hAnsiTheme="minorHAnsi" w:eastAsiaTheme="majorEastAsia" w:cstheme="minorHAnsi"/>
          <w:kern w:val="0"/>
          <w:szCs w:val="21"/>
        </w:rPr>
        <w:t>对于希望通过访学提高英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语</w:t>
      </w:r>
      <w:r>
        <w:rPr>
          <w:rFonts w:asciiTheme="minorHAnsi" w:hAnsiTheme="minorHAnsi" w:eastAsiaTheme="majorEastAsia" w:cstheme="minorHAnsi"/>
          <w:kern w:val="0"/>
          <w:szCs w:val="21"/>
        </w:rPr>
        <w:t>水平、了解美国社会、增进对不同文化的认识和理解、提高创新意识和国际意识的同学，</w:t>
      </w:r>
      <w:r>
        <w:rPr>
          <w:rFonts w:hint="eastAsia" w:asciiTheme="minorHAnsi" w:hAnsiTheme="minorHAnsi" w:eastAsiaTheme="majorEastAsia" w:cstheme="minorHAnsi"/>
          <w:szCs w:val="21"/>
        </w:rPr>
        <w:t>可申请强化学术英语</w:t>
      </w:r>
      <w:r>
        <w:rPr>
          <w:rFonts w:asciiTheme="minorHAnsi" w:hAnsiTheme="minorHAnsi" w:eastAsiaTheme="majorEastAsia" w:cstheme="minorHAnsi"/>
          <w:szCs w:val="21"/>
        </w:rPr>
        <w:t>课程，通过</w:t>
      </w:r>
      <w:r>
        <w:rPr>
          <w:rFonts w:asciiTheme="minorHAnsi" w:hAnsiTheme="minorHAnsi" w:eastAsiaTheme="majorEastAsia" w:cstheme="minorHAnsi"/>
          <w:kern w:val="0"/>
          <w:szCs w:val="21"/>
        </w:rPr>
        <w:t>与来自世界各地的同学一起学习，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快速提高英语应用能力与沟通交流能力。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哥伦比亚大学语言项目中心（</w:t>
      </w:r>
      <w:r>
        <w:rPr>
          <w:rFonts w:asciiTheme="minorHAnsi" w:hAnsiTheme="minorHAnsi" w:eastAsiaTheme="majorEastAsia" w:cstheme="minorHAnsi"/>
          <w:kern w:val="0"/>
          <w:szCs w:val="21"/>
        </w:rPr>
        <w:t xml:space="preserve">American Language Program, 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简称ALP）成立于1911年，是全美最古老的语言中心。</w:t>
      </w:r>
      <w:r>
        <w:rPr>
          <w:rFonts w:hint="eastAsia" w:asciiTheme="minorHAnsi" w:hAnsiTheme="minorHAnsi" w:eastAsiaTheme="majorEastAsia" w:cstheme="minorHAnsi"/>
          <w:szCs w:val="21"/>
        </w:rPr>
        <w:t>强化学术英语</w:t>
      </w:r>
      <w:r>
        <w:rPr>
          <w:rFonts w:asciiTheme="minorHAnsi" w:hAnsiTheme="minorHAnsi" w:eastAsiaTheme="majorEastAsia" w:cstheme="minorHAnsi"/>
          <w:szCs w:val="21"/>
        </w:rPr>
        <w:t>课程</w:t>
      </w:r>
      <w:r>
        <w:rPr>
          <w:rFonts w:hint="eastAsia" w:asciiTheme="minorHAnsi" w:hAnsiTheme="minorHAnsi" w:eastAsiaTheme="majorEastAsia" w:cstheme="minorHAnsi"/>
          <w:szCs w:val="21"/>
        </w:rPr>
        <w:t>具备以下特色：</w:t>
      </w:r>
    </w:p>
    <w:p>
      <w:pPr>
        <w:pStyle w:val="17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重点关注学术英语技能的提升，强化学生未来在美国大学就读所需要的语言技能，包括写作、演讲、笔记、参与讨论等；</w:t>
      </w:r>
    </w:p>
    <w:p>
      <w:pPr>
        <w:pStyle w:val="17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强调各方面英语综合技能的全方位提高；</w:t>
      </w:r>
    </w:p>
    <w:p>
      <w:pPr>
        <w:pStyle w:val="17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每周18课时，</w:t>
      </w:r>
      <w:r>
        <w:rPr>
          <w:rFonts w:hint="eastAsia" w:asciiTheme="minorHAnsi" w:hAnsiTheme="minorHAnsi" w:eastAsiaTheme="majorEastAsia" w:cstheme="minorHAnsi"/>
          <w:szCs w:val="21"/>
        </w:rPr>
        <w:t>均为分级小班授课（12-16人），以保障课程质量；每班配备2-3名高水平的教师，共同设计教学内容；</w:t>
      </w:r>
    </w:p>
    <w:p>
      <w:pPr>
        <w:pStyle w:val="17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kern w:val="0"/>
          <w:szCs w:val="21"/>
        </w:rPr>
        <w:t>课程内容丰富、形式多样，注重选取不同主题背景和真实素材，提升语言实际运用能力；</w:t>
      </w:r>
    </w:p>
    <w:p>
      <w:pPr>
        <w:pStyle w:val="17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注重培养学生的批判性思维；</w:t>
      </w: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361950</wp:posOffset>
            </wp:positionH>
            <wp:positionV relativeFrom="paragraph">
              <wp:posOffset>229870</wp:posOffset>
            </wp:positionV>
            <wp:extent cx="4762500" cy="2371090"/>
            <wp:effectExtent l="0" t="0" r="0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371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szCs w:val="21"/>
        </w:rPr>
      </w:pPr>
      <w:r>
        <w:rPr>
          <w:rFonts w:asciiTheme="minorHAnsi" w:hAnsiTheme="minorHAnsi" w:eastAsiaTheme="majorEastAsia" w:cstheme="minorHAnsi"/>
          <w:b/>
          <w:szCs w:val="21"/>
        </w:rPr>
        <w:t>第二</w:t>
      </w:r>
      <w:r>
        <w:rPr>
          <w:rFonts w:hint="eastAsia" w:asciiTheme="minorHAnsi" w:hAnsiTheme="minorHAnsi" w:eastAsiaTheme="majorEastAsia" w:cstheme="minorHAnsi"/>
          <w:b/>
          <w:szCs w:val="21"/>
        </w:rPr>
        <w:t>类</w:t>
      </w:r>
      <w:r>
        <w:rPr>
          <w:rFonts w:asciiTheme="minorHAnsi" w:hAnsiTheme="minorHAnsi" w:eastAsiaTheme="majorEastAsia" w:cstheme="minorHAnsi"/>
          <w:b/>
          <w:szCs w:val="21"/>
        </w:rPr>
        <w:t>：大学</w:t>
      </w:r>
      <w:r>
        <w:rPr>
          <w:rFonts w:hint="eastAsia" w:asciiTheme="minorHAnsi" w:hAnsiTheme="minorHAnsi" w:eastAsiaTheme="majorEastAsia" w:cstheme="minorHAnsi"/>
          <w:b/>
          <w:szCs w:val="21"/>
        </w:rPr>
        <w:t>专业</w:t>
      </w:r>
      <w:r>
        <w:rPr>
          <w:rFonts w:asciiTheme="minorHAnsi" w:hAnsiTheme="minorHAnsi" w:eastAsiaTheme="majorEastAsia" w:cstheme="minorHAnsi"/>
          <w:b/>
          <w:szCs w:val="21"/>
        </w:rPr>
        <w:t>学分课程</w:t>
      </w:r>
    </w:p>
    <w:p>
      <w:pPr>
        <w:widowControl/>
        <w:spacing w:line="360" w:lineRule="auto"/>
        <w:jc w:val="left"/>
        <w:rPr>
          <w:rFonts w:cs="Calibri" w:asciiTheme="minorHAnsi" w:hAnsiTheme="minorHAnsi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课程日期</w:t>
      </w:r>
      <w:r>
        <w:rPr>
          <w:rFonts w:cs="Calibri" w:asciiTheme="minorHAnsi" w:hAnsiTheme="minorHAnsi"/>
          <w:szCs w:val="21"/>
        </w:rPr>
        <w:t>】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20</w:t>
      </w:r>
      <w:r>
        <w:rPr>
          <w:rFonts w:hint="eastAsia" w:asciiTheme="minorHAnsi" w:hAnsiTheme="minorHAnsi" w:eastAsiaTheme="majorEastAsia" w:cstheme="minorHAnsi"/>
          <w:szCs w:val="21"/>
        </w:rPr>
        <w:t>20</w:t>
      </w:r>
      <w:r>
        <w:rPr>
          <w:rFonts w:asciiTheme="minorHAnsi" w:hAnsiTheme="minorHAnsi" w:eastAsiaTheme="majorEastAsia" w:cstheme="minorHAnsi"/>
          <w:szCs w:val="21"/>
        </w:rPr>
        <w:t>年</w:t>
      </w:r>
      <w:r>
        <w:rPr>
          <w:rFonts w:hint="eastAsia" w:asciiTheme="minorHAnsi" w:hAnsiTheme="minorHAnsi" w:eastAsiaTheme="majorEastAsia" w:cstheme="minorHAnsi"/>
          <w:szCs w:val="21"/>
        </w:rPr>
        <w:t>7</w:t>
      </w:r>
      <w:r>
        <w:rPr>
          <w:rFonts w:asciiTheme="minorHAnsi" w:hAnsiTheme="minorHAnsi" w:eastAsiaTheme="majorEastAsia" w:cstheme="minorHAnsi"/>
          <w:szCs w:val="21"/>
        </w:rPr>
        <w:t>月</w:t>
      </w:r>
      <w:r>
        <w:rPr>
          <w:rFonts w:hint="eastAsia" w:asciiTheme="minorHAnsi" w:hAnsiTheme="minorHAnsi" w:eastAsiaTheme="majorEastAsia" w:cstheme="minorHAnsi"/>
          <w:szCs w:val="21"/>
        </w:rPr>
        <w:t>16</w:t>
      </w:r>
      <w:r>
        <w:rPr>
          <w:rFonts w:asciiTheme="minorHAnsi" w:hAnsiTheme="minorHAnsi" w:eastAsiaTheme="majorEastAsia" w:cstheme="minorHAnsi"/>
          <w:szCs w:val="21"/>
        </w:rPr>
        <w:t>日 –</w:t>
      </w:r>
      <w:r>
        <w:rPr>
          <w:rFonts w:hint="eastAsia" w:asciiTheme="minorHAnsi" w:hAnsiTheme="minorHAnsi" w:eastAsiaTheme="majorEastAsia" w:cstheme="minorHAnsi"/>
          <w:szCs w:val="21"/>
        </w:rPr>
        <w:t xml:space="preserve"> 8</w:t>
      </w:r>
      <w:r>
        <w:rPr>
          <w:rFonts w:asciiTheme="minorHAnsi" w:hAnsiTheme="minorHAnsi" w:eastAsiaTheme="majorEastAsia" w:cstheme="minorHAnsi"/>
          <w:szCs w:val="21"/>
        </w:rPr>
        <w:t>月</w:t>
      </w:r>
      <w:r>
        <w:rPr>
          <w:rFonts w:hint="eastAsia" w:asciiTheme="minorHAnsi" w:hAnsiTheme="minorHAnsi" w:eastAsiaTheme="majorEastAsia" w:cstheme="minorHAnsi"/>
          <w:szCs w:val="21"/>
        </w:rPr>
        <w:t>14</w:t>
      </w:r>
      <w:r>
        <w:rPr>
          <w:rFonts w:asciiTheme="minorHAnsi" w:hAnsiTheme="minorHAnsi" w:eastAsiaTheme="majorEastAsia" w:cstheme="minorHAnsi"/>
          <w:szCs w:val="21"/>
        </w:rPr>
        <w:t>日（</w:t>
      </w:r>
      <w:r>
        <w:rPr>
          <w:rFonts w:hint="eastAsia" w:asciiTheme="minorHAnsi" w:hAnsiTheme="minorHAnsi" w:eastAsiaTheme="majorEastAsia" w:cstheme="minorHAnsi"/>
          <w:szCs w:val="21"/>
        </w:rPr>
        <w:t>6</w:t>
      </w:r>
      <w:r>
        <w:rPr>
          <w:rFonts w:asciiTheme="minorHAnsi" w:hAnsiTheme="minorHAnsi" w:eastAsiaTheme="majorEastAsia" w:cstheme="minorHAnsi"/>
          <w:szCs w:val="21"/>
        </w:rPr>
        <w:t>周）</w:t>
      </w:r>
    </w:p>
    <w:p>
      <w:pPr>
        <w:spacing w:line="360" w:lineRule="auto"/>
        <w:rPr>
          <w:rFonts w:asciiTheme="minorHAnsi" w:hAnsiTheme="minorHAnsi" w:eastAsiaTheme="majorEastAsia" w:cstheme="minorHAnsi"/>
          <w:b/>
          <w:bCs/>
          <w:kern w:val="0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课程内容</w:t>
      </w:r>
      <w:r>
        <w:rPr>
          <w:rFonts w:cs="Calibri" w:asciiTheme="minorHAnsi" w:hAnsiTheme="minorHAnsi"/>
          <w:szCs w:val="21"/>
        </w:rPr>
        <w:t>】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英文</w:t>
      </w:r>
      <w:r>
        <w:rPr>
          <w:rFonts w:hint="eastAsia" w:asciiTheme="minorHAnsi" w:hAnsiTheme="minorHAnsi" w:eastAsiaTheme="majorEastAsia" w:cstheme="minorHAnsi"/>
          <w:szCs w:val="21"/>
        </w:rPr>
        <w:t>标准化考试成绩达到项目要求</w:t>
      </w:r>
      <w:r>
        <w:rPr>
          <w:rFonts w:asciiTheme="minorHAnsi" w:hAnsiTheme="minorHAnsi" w:eastAsiaTheme="majorEastAsia" w:cstheme="minorHAnsi"/>
          <w:szCs w:val="21"/>
        </w:rPr>
        <w:t>并希望提高专业水平的同学，通过</w:t>
      </w:r>
      <w:r>
        <w:rPr>
          <w:rFonts w:hint="eastAsia" w:asciiTheme="minorHAnsi" w:hAnsiTheme="minorHAnsi" w:eastAsiaTheme="majorEastAsia" w:cstheme="minorHAnsi"/>
          <w:szCs w:val="21"/>
        </w:rPr>
        <w:t>本校、全美国际教育协会、以及哥伦比亚大学的共同</w:t>
      </w:r>
      <w:r>
        <w:rPr>
          <w:rFonts w:asciiTheme="minorHAnsi" w:hAnsiTheme="minorHAnsi" w:eastAsiaTheme="majorEastAsia" w:cstheme="minorHAnsi"/>
          <w:szCs w:val="21"/>
        </w:rPr>
        <w:t>选拔后，</w:t>
      </w:r>
      <w:r>
        <w:rPr>
          <w:rFonts w:hint="eastAsia" w:asciiTheme="minorHAnsi" w:hAnsiTheme="minorHAnsi" w:eastAsiaTheme="majorEastAsia" w:cstheme="minorHAnsi"/>
          <w:szCs w:val="21"/>
        </w:rPr>
        <w:t>可以与哥伦比亚大学在读</w:t>
      </w:r>
      <w:r>
        <w:rPr>
          <w:rFonts w:asciiTheme="minorHAnsi" w:hAnsiTheme="minorHAnsi" w:eastAsiaTheme="majorEastAsia" w:cstheme="minorHAnsi"/>
          <w:szCs w:val="21"/>
        </w:rPr>
        <w:t>学生一起学习</w:t>
      </w:r>
      <w:r>
        <w:rPr>
          <w:rFonts w:hint="eastAsia" w:asciiTheme="minorHAnsi" w:hAnsiTheme="minorHAnsi" w:eastAsiaTheme="majorEastAsia" w:cstheme="minorHAnsi"/>
          <w:szCs w:val="21"/>
        </w:rPr>
        <w:t>与本专业相关的</w:t>
      </w:r>
      <w:r>
        <w:rPr>
          <w:rFonts w:asciiTheme="minorHAnsi" w:hAnsiTheme="minorHAnsi" w:eastAsiaTheme="majorEastAsia" w:cstheme="minorHAnsi"/>
          <w:szCs w:val="21"/>
        </w:rPr>
        <w:t>学分课程</w:t>
      </w:r>
      <w:r>
        <w:rPr>
          <w:rFonts w:hint="eastAsia" w:asciiTheme="minorHAnsi" w:hAnsiTheme="minorHAnsi" w:eastAsiaTheme="majorEastAsia" w:cstheme="minorHAnsi"/>
          <w:szCs w:val="21"/>
        </w:rPr>
        <w:t>，符合学术条件的学生也可选修研究生课程。大学专业学分课程面向大多数专业的学生，可选课程领域包括商科、经济学、计算机科学、生物科学、生态学、数理化、环境、天文学、建筑、戏剧艺术、心理学、社会学、教育、文学、历史、新闻传媒、美国研究、人类学等等。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具体课程详情可查询学校官网：</w:t>
      </w:r>
      <w:r>
        <w:fldChar w:fldCharType="begin"/>
      </w:r>
      <w:r>
        <w:instrText xml:space="preserve"> HYPERLINK "http://summer.sps.columbia.edu/courses/summer-courses" </w:instrText>
      </w:r>
      <w:r>
        <w:fldChar w:fldCharType="separate"/>
      </w:r>
      <w:r>
        <w:rPr>
          <w:rStyle w:val="13"/>
          <w:rFonts w:asciiTheme="minorHAnsi" w:hAnsiTheme="minorHAnsi" w:eastAsiaTheme="majorEastAsia" w:cstheme="minorHAnsi"/>
          <w:szCs w:val="21"/>
        </w:rPr>
        <w:t>http://summer.sps.columbia.edu/courses/summer-courses</w:t>
      </w:r>
      <w:r>
        <w:rPr>
          <w:rStyle w:val="13"/>
          <w:rFonts w:asciiTheme="minorHAnsi" w:hAnsiTheme="minorHAnsi" w:eastAsiaTheme="majorEastAsia" w:cstheme="minorHAnsi"/>
          <w:szCs w:val="21"/>
        </w:rPr>
        <w:fldChar w:fldCharType="end"/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 xml:space="preserve">学生在哥伦比亚大学期间学习两门课，可获得6个哥伦比亚大学的学分。 </w:t>
      </w:r>
    </w:p>
    <w:p>
      <w:pPr>
        <w:spacing w:line="360" w:lineRule="auto"/>
        <w:rPr>
          <w:rFonts w:cs="Calibri" w:asciiTheme="minorHAnsi" w:hAnsiTheme="minorHAnsi"/>
          <w:szCs w:val="21"/>
        </w:rPr>
      </w:pPr>
    </w:p>
    <w:p>
      <w:pPr>
        <w:spacing w:line="360" w:lineRule="auto"/>
        <w:rPr>
          <w:rFonts w:cs="Calibri" w:asciiTheme="minorHAnsi" w:hAnsiTheme="minorHAnsi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cs="Calibri" w:asciiTheme="minorHAnsi" w:hAnsiTheme="minorHAnsi"/>
          <w:b/>
          <w:szCs w:val="21"/>
        </w:rPr>
        <w:t>项目证书</w:t>
      </w:r>
      <w:r>
        <w:rPr>
          <w:rFonts w:cs="Calibri" w:asciiTheme="minorHAnsi" w:hAnsiTheme="minorHAnsi"/>
          <w:szCs w:val="21"/>
        </w:rPr>
        <w:t>】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顺利完成</w:t>
      </w:r>
      <w:r>
        <w:rPr>
          <w:rFonts w:hint="eastAsia" w:asciiTheme="minorHAnsi" w:hAnsiTheme="minorHAnsi" w:eastAsiaTheme="majorEastAsia" w:cstheme="minorHAnsi"/>
          <w:szCs w:val="21"/>
        </w:rPr>
        <w:t>学业后，学生可</w:t>
      </w:r>
      <w:r>
        <w:rPr>
          <w:rFonts w:asciiTheme="minorHAnsi" w:hAnsiTheme="minorHAnsi" w:eastAsiaTheme="majorEastAsia" w:cstheme="minorHAnsi"/>
          <w:szCs w:val="21"/>
        </w:rPr>
        <w:t>获得哥伦比亚大学</w:t>
      </w:r>
      <w:r>
        <w:rPr>
          <w:rFonts w:hint="eastAsia" w:asciiTheme="minorHAnsi" w:hAnsiTheme="minorHAnsi" w:eastAsiaTheme="majorEastAsia" w:cstheme="minorHAnsi"/>
          <w:szCs w:val="21"/>
        </w:rPr>
        <w:t>的正式学习证明。参加语言文化课程的学生可获得成绩单与项目证书，参加大学专业学分课程的学生可获得成绩单与正式学分。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2571115</wp:posOffset>
            </wp:positionH>
            <wp:positionV relativeFrom="paragraph">
              <wp:posOffset>253365</wp:posOffset>
            </wp:positionV>
            <wp:extent cx="3055620" cy="1695450"/>
            <wp:effectExtent l="0" t="0" r="0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562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110490</wp:posOffset>
            </wp:positionV>
            <wp:extent cx="2486025" cy="1983740"/>
            <wp:effectExtent l="0" t="0" r="0" b="0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983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左图</w:t>
      </w:r>
      <w:r>
        <w:rPr>
          <w:rFonts w:hint="eastAsia" w:asciiTheme="minorHAnsi" w:hAnsiTheme="minorHAnsi" w:eastAsiaTheme="majorEastAsia" w:cstheme="minorHAnsi"/>
          <w:szCs w:val="21"/>
        </w:rPr>
        <w:t>：</w:t>
      </w:r>
      <w:r>
        <w:rPr>
          <w:rFonts w:asciiTheme="minorHAnsi" w:hAnsiTheme="minorHAnsi" w:eastAsiaTheme="majorEastAsia" w:cstheme="minorHAnsi"/>
          <w:szCs w:val="21"/>
        </w:rPr>
        <w:t>哥大语言文化项目证书样图</w:t>
      </w:r>
    </w:p>
    <w:p>
      <w:pPr>
        <w:widowControl/>
        <w:spacing w:line="360" w:lineRule="auto"/>
        <w:ind w:firstLine="420" w:firstLineChars="20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右图：哥大专业学分课程成绩单样图</w:t>
      </w:r>
    </w:p>
    <w:p>
      <w:pPr>
        <w:widowControl/>
        <w:spacing w:line="360" w:lineRule="auto"/>
        <w:jc w:val="left"/>
        <w:rPr>
          <w:rFonts w:asciiTheme="minorHAnsi" w:hAnsiTheme="minorHAnsi" w:eastAsiaTheme="majorEastAsia" w:cstheme="minorHAnsi"/>
          <w:b/>
          <w:bCs/>
          <w:kern w:val="0"/>
          <w:szCs w:val="21"/>
        </w:rPr>
      </w:pPr>
    </w:p>
    <w:p>
      <w:pPr>
        <w:spacing w:line="360" w:lineRule="auto"/>
        <w:ind w:firstLine="420" w:firstLineChars="200"/>
        <w:rPr>
          <w:rFonts w:cs="Calibri" w:asciiTheme="minorHAnsi" w:hAnsiTheme="minorHAnsi"/>
          <w:szCs w:val="21"/>
        </w:rPr>
      </w:pPr>
      <w:r>
        <w:rPr>
          <w:rFonts w:hint="eastAsia" w:cs="Calibri" w:asciiTheme="minorHAnsi" w:hAnsiTheme="minorHAnsi"/>
          <w:szCs w:val="21"/>
        </w:rPr>
        <w:t>项目学生均可获得</w:t>
      </w:r>
      <w:r>
        <w:rPr>
          <w:rFonts w:hint="eastAsia" w:asciiTheme="minorHAnsi" w:hAnsiTheme="minorHAnsi" w:eastAsiaTheme="majorEastAsia" w:cstheme="minorHAnsi"/>
          <w:szCs w:val="21"/>
        </w:rPr>
        <w:t>哥伦比亚</w:t>
      </w:r>
      <w:r>
        <w:rPr>
          <w:rFonts w:hint="eastAsia" w:cs="Calibri" w:asciiTheme="minorHAnsi" w:hAnsiTheme="minorHAnsi"/>
          <w:szCs w:val="21"/>
        </w:rPr>
        <w:t>正式注册的学生证，凭借学生证可在项目期内，按校方规定使用学校的校园设施与教育资源，包括图书馆、健身房、活动中心等。</w:t>
      </w:r>
    </w:p>
    <w:p>
      <w:pPr>
        <w:spacing w:line="360" w:lineRule="auto"/>
        <w:ind w:firstLine="440" w:firstLineChars="200"/>
        <w:rPr>
          <w:rFonts w:cs="Calibri" w:asciiTheme="minorHAnsi" w:hAnsiTheme="minorHAnsi"/>
          <w:sz w:val="22"/>
          <w:szCs w:val="22"/>
        </w:rPr>
      </w:pPr>
    </w:p>
    <w:p>
      <w:pPr>
        <w:widowControl/>
        <w:spacing w:line="360" w:lineRule="auto"/>
        <w:jc w:val="left"/>
        <w:rPr>
          <w:rFonts w:cs="Calibri" w:asciiTheme="minorHAnsi" w:hAnsiTheme="minorHAnsi"/>
          <w:szCs w:val="21"/>
        </w:rPr>
      </w:pPr>
      <w:r>
        <w:rPr>
          <w:rFonts w:cs="Calibri" w:asciiTheme="minorHAnsi" w:hAnsiTheme="minorHAnsi"/>
          <w:szCs w:val="21"/>
        </w:rPr>
        <w:t>【</w:t>
      </w: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</w:rPr>
        <w:t>项目</w:t>
      </w:r>
      <w:r>
        <w:rPr>
          <w:rFonts w:asciiTheme="minorHAnsi" w:hAnsiTheme="minorHAnsi" w:eastAsiaTheme="majorEastAsia" w:cstheme="minorHAnsi"/>
          <w:b/>
          <w:bCs/>
          <w:kern w:val="0"/>
          <w:szCs w:val="21"/>
        </w:rPr>
        <w:t>费用</w:t>
      </w:r>
      <w:r>
        <w:rPr>
          <w:rFonts w:cs="Calibri" w:asciiTheme="minorHAnsi" w:hAnsiTheme="minorHAnsi"/>
          <w:szCs w:val="21"/>
        </w:rPr>
        <w:t>】</w:t>
      </w:r>
    </w:p>
    <w:tbl>
      <w:tblPr>
        <w:tblStyle w:val="1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51"/>
        <w:gridCol w:w="65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7" w:hRule="atLeast"/>
        </w:trPr>
        <w:tc>
          <w:tcPr>
            <w:tcW w:w="1951" w:type="dxa"/>
          </w:tcPr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</w:rPr>
              <w:t>项目总费用</w:t>
            </w:r>
          </w:p>
        </w:tc>
        <w:tc>
          <w:tcPr>
            <w:tcW w:w="6571" w:type="dxa"/>
          </w:tcPr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</w:rPr>
              <w:t>语言文化课程：约5,314美元（合人民币约3.8万元）</w:t>
            </w:r>
          </w:p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</w:rPr>
              <w:t>专业学分课程：约1.19-1.5万美元（合人民币约8.4-10.6万）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51" w:type="dxa"/>
          </w:tcPr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</w:rPr>
              <w:t>费用包括：</w:t>
            </w:r>
          </w:p>
        </w:tc>
        <w:tc>
          <w:tcPr>
            <w:tcW w:w="6571" w:type="dxa"/>
          </w:tcPr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asciiTheme="minorHAnsi" w:hAnsiTheme="minorHAnsi" w:eastAsiaTheme="majorEastAsia" w:cstheme="minorHAnsi"/>
                <w:szCs w:val="21"/>
              </w:rPr>
              <w:t>申请费</w:t>
            </w:r>
            <w:r>
              <w:rPr>
                <w:rFonts w:hint="eastAsia" w:asciiTheme="minorHAnsi" w:hAnsiTheme="minorHAnsi" w:eastAsiaTheme="majorEastAsia" w:cstheme="minorHAnsi"/>
                <w:szCs w:val="21"/>
              </w:rPr>
              <w:t>、</w:t>
            </w:r>
            <w:r>
              <w:rPr>
                <w:rFonts w:asciiTheme="minorHAnsi" w:hAnsiTheme="minorHAnsi" w:eastAsiaTheme="majorEastAsia" w:cstheme="minorHAnsi"/>
                <w:szCs w:val="21"/>
              </w:rPr>
              <w:t>学费</w:t>
            </w:r>
            <w:r>
              <w:rPr>
                <w:rFonts w:hint="eastAsia" w:asciiTheme="minorHAnsi" w:hAnsiTheme="minorHAnsi" w:eastAsiaTheme="majorEastAsia" w:cstheme="minorHAnsi"/>
                <w:szCs w:val="21"/>
              </w:rPr>
              <w:t>、医疗与意外保险、大学杂费、接机费、</w:t>
            </w:r>
            <w:r>
              <w:rPr>
                <w:rFonts w:asciiTheme="minorHAnsi" w:hAnsiTheme="minorHAnsi" w:eastAsiaTheme="majorEastAsia" w:cstheme="minorHAnsi"/>
                <w:szCs w:val="21"/>
              </w:rPr>
              <w:t>及项目</w:t>
            </w:r>
            <w:r>
              <w:rPr>
                <w:rFonts w:hint="eastAsia" w:asciiTheme="minorHAnsi" w:hAnsiTheme="minorHAnsi" w:eastAsiaTheme="majorEastAsia" w:cstheme="minorHAnsi"/>
                <w:szCs w:val="21"/>
              </w:rPr>
              <w:t>服务</w:t>
            </w:r>
            <w:r>
              <w:rPr>
                <w:rFonts w:asciiTheme="minorHAnsi" w:hAnsiTheme="minorHAnsi" w:eastAsiaTheme="majorEastAsia" w:cstheme="minorHAnsi"/>
                <w:szCs w:val="21"/>
              </w:rPr>
              <w:t>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51" w:type="dxa"/>
          </w:tcPr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hint="eastAsia" w:asciiTheme="minorHAnsi" w:hAnsiTheme="minorHAnsi" w:eastAsiaTheme="majorEastAsia" w:cstheme="minorHAnsi"/>
                <w:szCs w:val="21"/>
              </w:rPr>
              <w:t>费用不包括：</w:t>
            </w:r>
          </w:p>
        </w:tc>
        <w:tc>
          <w:tcPr>
            <w:tcW w:w="6571" w:type="dxa"/>
          </w:tcPr>
          <w:p>
            <w:pPr>
              <w:spacing w:line="360" w:lineRule="auto"/>
              <w:rPr>
                <w:rFonts w:asciiTheme="minorHAnsi" w:hAnsiTheme="minorHAnsi" w:eastAsiaTheme="majorEastAsia" w:cstheme="minorHAnsi"/>
                <w:szCs w:val="21"/>
              </w:rPr>
            </w:pPr>
            <w:r>
              <w:rPr>
                <w:rFonts w:asciiTheme="minorHAnsi" w:hAnsiTheme="minorHAnsi" w:eastAsiaTheme="majorEastAsia" w:cstheme="minorHAnsi"/>
                <w:szCs w:val="21"/>
              </w:rPr>
              <w:t>机票</w:t>
            </w:r>
            <w:r>
              <w:rPr>
                <w:rFonts w:hint="eastAsia" w:asciiTheme="minorHAnsi" w:hAnsiTheme="minorHAnsi" w:eastAsiaTheme="majorEastAsia" w:cstheme="minorHAnsi"/>
                <w:szCs w:val="21"/>
              </w:rPr>
              <w:t>、</w:t>
            </w:r>
            <w:r>
              <w:rPr>
                <w:rFonts w:asciiTheme="minorHAnsi" w:hAnsiTheme="minorHAnsi" w:eastAsiaTheme="majorEastAsia" w:cstheme="minorHAnsi"/>
                <w:szCs w:val="21"/>
              </w:rPr>
              <w:t>签证费</w:t>
            </w:r>
            <w:r>
              <w:rPr>
                <w:rFonts w:hint="eastAsia" w:asciiTheme="minorHAnsi" w:hAnsiTheme="minorHAnsi" w:eastAsiaTheme="majorEastAsia" w:cstheme="minorHAnsi"/>
                <w:szCs w:val="21"/>
              </w:rPr>
              <w:t>、住宿/餐费、与个人花费</w:t>
            </w:r>
          </w:p>
        </w:tc>
      </w:tr>
    </w:tbl>
    <w:p>
      <w:pPr>
        <w:spacing w:line="360" w:lineRule="auto"/>
        <w:rPr>
          <w:rFonts w:asciiTheme="minorHAnsi" w:hAnsiTheme="minorHAnsi" w:eastAsiaTheme="majorEastAsia" w:cstheme="minorHAnsi"/>
          <w:szCs w:val="21"/>
        </w:rPr>
      </w:pPr>
    </w:p>
    <w:p>
      <w:pPr>
        <w:spacing w:line="360" w:lineRule="auto"/>
        <w:rPr>
          <w:rFonts w:asciiTheme="minorHAnsi" w:hAnsiTheme="minorHAnsi" w:eastAsiaTheme="majorEastAsia" w:cstheme="minorHAnsi"/>
          <w:b/>
          <w:kern w:val="0"/>
          <w:szCs w:val="21"/>
        </w:rPr>
      </w:pP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</w:rPr>
        <w:t>四</w:t>
      </w:r>
      <w:r>
        <w:rPr>
          <w:rFonts w:asciiTheme="minorHAnsi" w:hAnsiTheme="minorHAnsi" w:eastAsiaTheme="majorEastAsia" w:cstheme="minorHAnsi"/>
          <w:b/>
          <w:bCs/>
          <w:kern w:val="0"/>
          <w:szCs w:val="21"/>
        </w:rPr>
        <w:t>、</w:t>
      </w:r>
      <w:r>
        <w:rPr>
          <w:rFonts w:hint="eastAsia" w:asciiTheme="minorHAnsi" w:hAnsiTheme="minorHAnsi" w:eastAsiaTheme="majorEastAsia" w:cstheme="minorHAnsi"/>
          <w:b/>
          <w:bCs/>
          <w:kern w:val="0"/>
          <w:szCs w:val="21"/>
        </w:rPr>
        <w:t>项目申请</w:t>
      </w:r>
    </w:p>
    <w:p>
      <w:pPr>
        <w:pStyle w:val="17"/>
        <w:numPr>
          <w:ilvl w:val="0"/>
          <w:numId w:val="4"/>
        </w:numPr>
        <w:spacing w:line="360" w:lineRule="auto"/>
        <w:ind w:firstLineChars="0"/>
        <w:rPr>
          <w:rFonts w:asciiTheme="minorHAnsi" w:hAnsiTheme="minorHAnsi" w:eastAsiaTheme="majorEastAsia" w:cstheme="minorHAnsi"/>
          <w:b/>
          <w:kern w:val="0"/>
          <w:szCs w:val="21"/>
        </w:rPr>
      </w:pPr>
      <w:r>
        <w:rPr>
          <w:rFonts w:asciiTheme="minorHAnsi" w:hAnsiTheme="minorHAnsi" w:eastAsiaTheme="majorEastAsia" w:cstheme="minorHAnsi"/>
          <w:b/>
          <w:kern w:val="0"/>
          <w:szCs w:val="21"/>
        </w:rPr>
        <w:t>项目名额</w:t>
      </w:r>
    </w:p>
    <w:p>
      <w:pPr>
        <w:widowControl/>
        <w:spacing w:line="360" w:lineRule="auto"/>
        <w:ind w:firstLine="420"/>
        <w:jc w:val="left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="Calibri" w:hAnsi="Calibri" w:cs="Calibri"/>
          <w:szCs w:val="21"/>
        </w:rPr>
        <w:t>2020年哥伦比亚大学暑期选拔名额为专业学分课程</w:t>
      </w:r>
      <w:r>
        <w:rPr>
          <w:rFonts w:hint="eastAsia" w:ascii="Calibri" w:hAnsi="Calibri" w:cs="Calibri"/>
          <w:szCs w:val="21"/>
          <w:lang w:val="en-US" w:eastAsia="zh-CN"/>
        </w:rPr>
        <w:t>5</w:t>
      </w:r>
      <w:r>
        <w:rPr>
          <w:rFonts w:hint="eastAsia" w:ascii="Calibri" w:hAnsi="Calibri" w:cs="Calibri"/>
          <w:szCs w:val="21"/>
        </w:rPr>
        <w:t>名，语言文化课程</w:t>
      </w:r>
      <w:r>
        <w:rPr>
          <w:rFonts w:hint="eastAsia" w:ascii="Calibri" w:hAnsi="Calibri" w:cs="Calibri"/>
          <w:szCs w:val="21"/>
          <w:lang w:val="en-US" w:eastAsia="zh-CN"/>
        </w:rPr>
        <w:t>5</w:t>
      </w:r>
      <w:r>
        <w:rPr>
          <w:rFonts w:hint="eastAsia" w:ascii="Calibri" w:hAnsi="Calibri" w:cs="Calibri"/>
          <w:szCs w:val="21"/>
        </w:rPr>
        <w:t>名.</w:t>
      </w:r>
    </w:p>
    <w:p>
      <w:pPr>
        <w:pStyle w:val="17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cs="Calibri" w:asciiTheme="minorHAnsi" w:hAnsiTheme="minorHAnsi"/>
          <w:szCs w:val="21"/>
        </w:rPr>
      </w:pPr>
      <w:r>
        <w:rPr>
          <w:rFonts w:asciiTheme="minorHAnsi" w:hAnsiTheme="minorHAnsi" w:eastAsiaTheme="majorEastAsia" w:cstheme="minorHAnsi"/>
          <w:b/>
          <w:kern w:val="0"/>
          <w:szCs w:val="21"/>
        </w:rPr>
        <w:t>项目申请截止日期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：2020年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CN"/>
        </w:rPr>
        <w:t>4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月</w:t>
      </w:r>
      <w:r>
        <w:rPr>
          <w:rFonts w:hint="eastAsia" w:asciiTheme="minorHAnsi" w:hAnsiTheme="minorHAnsi" w:eastAsiaTheme="majorEastAsia" w:cstheme="minorHAnsi"/>
          <w:kern w:val="0"/>
          <w:szCs w:val="21"/>
          <w:lang w:val="en-US" w:eastAsia="zh-CN"/>
        </w:rPr>
        <w:t>30</w:t>
      </w:r>
      <w:r>
        <w:rPr>
          <w:rFonts w:hint="eastAsia" w:asciiTheme="minorHAnsi" w:hAnsiTheme="minorHAnsi" w:eastAsiaTheme="majorEastAsia" w:cstheme="minorHAnsi"/>
          <w:kern w:val="0"/>
          <w:szCs w:val="21"/>
        </w:rPr>
        <w:t>日</w:t>
      </w:r>
    </w:p>
    <w:p>
      <w:pPr>
        <w:pStyle w:val="17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cs="Calibri" w:asciiTheme="minorHAnsi" w:hAnsiTheme="minorHAnsi"/>
          <w:szCs w:val="21"/>
        </w:rPr>
      </w:pPr>
      <w:r>
        <w:rPr>
          <w:rFonts w:asciiTheme="minorHAnsi" w:hAnsiTheme="minorHAnsi" w:eastAsiaTheme="majorEastAsia" w:cstheme="minorHAnsi"/>
          <w:b/>
          <w:kern w:val="0"/>
          <w:szCs w:val="21"/>
        </w:rPr>
        <w:t>选拔要求</w:t>
      </w:r>
    </w:p>
    <w:p>
      <w:pPr>
        <w:pStyle w:val="17"/>
        <w:numPr>
          <w:ilvl w:val="0"/>
          <w:numId w:val="5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仅限本校</w:t>
      </w:r>
      <w:r>
        <w:rPr>
          <w:rFonts w:hint="eastAsia" w:asciiTheme="minorHAnsi" w:hAnsiTheme="minorHAnsi" w:eastAsiaTheme="majorEastAsia" w:cstheme="minorHAnsi"/>
          <w:szCs w:val="21"/>
        </w:rPr>
        <w:t>全日制本科生及研究生，成绩优异、道德品质好，在校期间未受过纪律处分，身心健康，能顺利完成在美学习任务；</w:t>
      </w:r>
    </w:p>
    <w:p>
      <w:pPr>
        <w:pStyle w:val="17"/>
        <w:numPr>
          <w:ilvl w:val="0"/>
          <w:numId w:val="5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年龄：学生开课时需已满18岁</w:t>
      </w:r>
    </w:p>
    <w:p>
      <w:pPr>
        <w:pStyle w:val="17"/>
        <w:numPr>
          <w:ilvl w:val="0"/>
          <w:numId w:val="5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申请要求:</w:t>
      </w:r>
    </w:p>
    <w:p>
      <w:pPr>
        <w:pStyle w:val="17"/>
        <w:spacing w:line="360" w:lineRule="auto"/>
        <w:ind w:left="570" w:firstLine="0"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语言</w:t>
      </w:r>
      <w:r>
        <w:rPr>
          <w:rFonts w:asciiTheme="minorHAnsi" w:hAnsiTheme="minorHAnsi" w:eastAsiaTheme="majorEastAsia" w:cstheme="minorHAnsi"/>
          <w:szCs w:val="21"/>
        </w:rPr>
        <w:t>文化课程</w:t>
      </w:r>
      <w:r>
        <w:rPr>
          <w:rFonts w:hint="eastAsia" w:asciiTheme="minorHAnsi" w:hAnsiTheme="minorHAnsi" w:eastAsiaTheme="majorEastAsia" w:cstheme="minorHAnsi"/>
          <w:szCs w:val="21"/>
        </w:rPr>
        <w:t>：具有良好的英语基础</w:t>
      </w:r>
      <w:r>
        <w:rPr>
          <w:rFonts w:asciiTheme="minorHAnsi" w:hAnsiTheme="minorHAnsi" w:eastAsiaTheme="majorEastAsia" w:cstheme="minorHAnsi"/>
          <w:szCs w:val="21"/>
        </w:rPr>
        <w:t>；</w:t>
      </w:r>
    </w:p>
    <w:p>
      <w:pPr>
        <w:pStyle w:val="17"/>
        <w:spacing w:line="360" w:lineRule="auto"/>
        <w:ind w:left="570" w:firstLine="0"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大学</w:t>
      </w:r>
      <w:r>
        <w:rPr>
          <w:rFonts w:hint="eastAsia" w:asciiTheme="minorHAnsi" w:hAnsiTheme="minorHAnsi" w:eastAsiaTheme="majorEastAsia" w:cstheme="minorHAnsi"/>
          <w:szCs w:val="21"/>
        </w:rPr>
        <w:t>专业</w:t>
      </w:r>
      <w:r>
        <w:rPr>
          <w:rFonts w:asciiTheme="minorHAnsi" w:hAnsiTheme="minorHAnsi" w:eastAsiaTheme="majorEastAsia" w:cstheme="minorHAnsi"/>
          <w:szCs w:val="21"/>
        </w:rPr>
        <w:t>学分课程</w:t>
      </w:r>
      <w:r>
        <w:rPr>
          <w:rFonts w:hint="eastAsia" w:asciiTheme="minorHAnsi" w:hAnsiTheme="minorHAnsi" w:eastAsiaTheme="majorEastAsia" w:cstheme="minorHAnsi"/>
          <w:szCs w:val="21"/>
        </w:rPr>
        <w:t xml:space="preserve"> - A类课程：</w:t>
      </w:r>
      <w:r>
        <w:rPr>
          <w:rFonts w:asciiTheme="minorHAnsi" w:hAnsiTheme="minorHAnsi" w:eastAsiaTheme="majorEastAsia" w:cstheme="minorHAnsi"/>
          <w:szCs w:val="21"/>
        </w:rPr>
        <w:t>托福</w:t>
      </w:r>
      <w:r>
        <w:rPr>
          <w:rFonts w:hint="eastAsia" w:asciiTheme="minorHAnsi" w:hAnsiTheme="minorHAnsi" w:eastAsiaTheme="majorEastAsia" w:cstheme="minorHAnsi"/>
          <w:szCs w:val="21"/>
        </w:rPr>
        <w:t>10</w:t>
      </w:r>
      <w:r>
        <w:rPr>
          <w:rFonts w:asciiTheme="minorHAnsi" w:hAnsiTheme="minorHAnsi" w:eastAsiaTheme="majorEastAsia" w:cstheme="minorHAnsi"/>
          <w:szCs w:val="21"/>
        </w:rPr>
        <w:t>0，</w:t>
      </w:r>
      <w:r>
        <w:rPr>
          <w:rFonts w:hint="eastAsia" w:asciiTheme="minorHAnsi" w:hAnsiTheme="minorHAnsi" w:eastAsiaTheme="majorEastAsia" w:cstheme="minorHAnsi"/>
          <w:szCs w:val="21"/>
        </w:rPr>
        <w:t>或</w:t>
      </w:r>
      <w:r>
        <w:rPr>
          <w:rFonts w:asciiTheme="minorHAnsi" w:hAnsiTheme="minorHAnsi" w:eastAsiaTheme="majorEastAsia" w:cstheme="minorHAnsi"/>
          <w:szCs w:val="21"/>
        </w:rPr>
        <w:t>雅思</w:t>
      </w:r>
      <w:r>
        <w:rPr>
          <w:rFonts w:hint="eastAsia" w:asciiTheme="minorHAnsi" w:hAnsiTheme="minorHAnsi" w:eastAsiaTheme="majorEastAsia" w:cstheme="minorHAnsi"/>
          <w:szCs w:val="21"/>
        </w:rPr>
        <w:t>7</w:t>
      </w:r>
      <w:r>
        <w:rPr>
          <w:rFonts w:asciiTheme="minorHAnsi" w:hAnsiTheme="minorHAnsi" w:eastAsiaTheme="majorEastAsia" w:cstheme="minorHAnsi"/>
          <w:szCs w:val="21"/>
        </w:rPr>
        <w:t>.</w:t>
      </w:r>
      <w:r>
        <w:rPr>
          <w:rFonts w:hint="eastAsia" w:asciiTheme="minorHAnsi" w:hAnsiTheme="minorHAnsi" w:eastAsiaTheme="majorEastAsia" w:cstheme="minorHAnsi"/>
          <w:szCs w:val="21"/>
        </w:rPr>
        <w:t>0，GPA3.0（4分制）</w:t>
      </w:r>
      <w:r>
        <w:rPr>
          <w:rFonts w:asciiTheme="minorHAnsi" w:hAnsiTheme="minorHAnsi" w:eastAsiaTheme="majorEastAsia" w:cstheme="minorHAnsi"/>
          <w:szCs w:val="21"/>
        </w:rPr>
        <w:t>；</w:t>
      </w:r>
      <w:r>
        <w:rPr>
          <w:rFonts w:hint="eastAsia" w:asciiTheme="minorHAnsi" w:hAnsiTheme="minorHAnsi" w:eastAsiaTheme="majorEastAsia" w:cstheme="minorHAnsi"/>
          <w:szCs w:val="21"/>
        </w:rPr>
        <w:t>可选择两门专业课程；</w:t>
      </w:r>
    </w:p>
    <w:p>
      <w:pPr>
        <w:pStyle w:val="17"/>
        <w:spacing w:line="360" w:lineRule="auto"/>
        <w:ind w:left="570" w:firstLine="0"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大学专业学分课程 - B类课程：托福85-99，或雅思6.5，GPA3.0 （4分制）；B类课程有选课限制，学生必选一门英语沟通技能课程，另外可选一门数理类课程；</w:t>
      </w:r>
    </w:p>
    <w:p>
      <w:pPr>
        <w:pStyle w:val="17"/>
        <w:numPr>
          <w:ilvl w:val="0"/>
          <w:numId w:val="5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家庭具有一定经济基础，能够提供访学所需学费及生活费；</w:t>
      </w:r>
    </w:p>
    <w:p>
      <w:pPr>
        <w:pStyle w:val="17"/>
        <w:numPr>
          <w:ilvl w:val="0"/>
          <w:numId w:val="5"/>
        </w:numPr>
        <w:spacing w:line="360" w:lineRule="auto"/>
        <w:ind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通过全美国际教育协会的项目面试、哥伦比亚大学的学术审核、以及我校院系及</w:t>
      </w:r>
    </w:p>
    <w:p>
      <w:pPr>
        <w:pStyle w:val="17"/>
        <w:spacing w:line="360" w:lineRule="auto"/>
        <w:ind w:left="570" w:firstLine="0" w:firstLineChars="0"/>
        <w:rPr>
          <w:rFonts w:asciiTheme="minorHAnsi" w:hAnsiTheme="minorHAnsi" w:eastAsiaTheme="majorEastAsia" w:cstheme="minorHAnsi"/>
          <w:szCs w:val="21"/>
        </w:rPr>
      </w:pPr>
      <w:r>
        <w:rPr>
          <w:rFonts w:hint="eastAsia" w:asciiTheme="minorHAnsi" w:hAnsiTheme="minorHAnsi" w:eastAsiaTheme="majorEastAsia" w:cstheme="minorHAnsi"/>
          <w:szCs w:val="21"/>
        </w:rPr>
        <w:t>国际交流处的派出资格审核</w:t>
      </w:r>
      <w:r>
        <w:rPr>
          <w:rFonts w:asciiTheme="minorHAnsi" w:hAnsiTheme="minorHAnsi" w:eastAsiaTheme="majorEastAsia" w:cstheme="minorHAnsi"/>
          <w:szCs w:val="21"/>
        </w:rPr>
        <w:t>。</w:t>
      </w:r>
    </w:p>
    <w:p>
      <w:pPr>
        <w:pStyle w:val="17"/>
        <w:numPr>
          <w:ilvl w:val="0"/>
          <w:numId w:val="4"/>
        </w:numPr>
        <w:spacing w:line="360" w:lineRule="auto"/>
        <w:ind w:firstLineChars="0"/>
        <w:rPr>
          <w:rFonts w:asciiTheme="minorHAnsi" w:hAnsiTheme="minorHAnsi" w:eastAsiaTheme="majorEastAsia" w:cstheme="minorHAnsi"/>
          <w:b/>
          <w:kern w:val="0"/>
          <w:szCs w:val="21"/>
        </w:rPr>
      </w:pPr>
      <w:r>
        <w:rPr>
          <w:rFonts w:asciiTheme="minorHAnsi" w:hAnsiTheme="minorHAnsi" w:eastAsiaTheme="majorEastAsia" w:cstheme="minorHAnsi"/>
          <w:b/>
          <w:kern w:val="0"/>
          <w:szCs w:val="21"/>
        </w:rPr>
        <w:t>项目申请录取方式和报名流程</w:t>
      </w:r>
    </w:p>
    <w:p>
      <w:pPr>
        <w:pStyle w:val="17"/>
        <w:numPr>
          <w:ilvl w:val="0"/>
          <w:numId w:val="6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asciiTheme="minorHAnsi" w:hAnsiTheme="minorHAnsi" w:eastAsiaTheme="majorEastAsia" w:cstheme="minorHAnsi"/>
          <w:kern w:val="0"/>
          <w:szCs w:val="21"/>
        </w:rPr>
        <w:t>学生本人提出申请，在学校国际合作交流处（外事处）报名；</w:t>
      </w:r>
    </w:p>
    <w:p>
      <w:pPr>
        <w:pStyle w:val="17"/>
        <w:numPr>
          <w:ilvl w:val="0"/>
          <w:numId w:val="6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同时登录项目选拔管理机构 -- 全美国际教育协会网站</w:t>
      </w:r>
      <w:r>
        <w:fldChar w:fldCharType="begin"/>
      </w:r>
      <w:r>
        <w:instrText xml:space="preserve"> HYPERLINK "http://www.usiea.org" </w:instrText>
      </w:r>
      <w:r>
        <w:fldChar w:fldCharType="separate"/>
      </w:r>
      <w:r>
        <w:rPr>
          <w:rStyle w:val="13"/>
          <w:rFonts w:hint="eastAsia" w:asciiTheme="minorHAnsi" w:hAnsiTheme="minorHAnsi" w:eastAsiaTheme="majorEastAsia" w:cstheme="minorHAnsi"/>
          <w:szCs w:val="21"/>
        </w:rPr>
        <w:t>www.usiea.org</w:t>
      </w:r>
      <w:r>
        <w:rPr>
          <w:rStyle w:val="13"/>
          <w:rFonts w:hint="eastAsia" w:asciiTheme="minorHAnsi" w:hAnsiTheme="minorHAnsi" w:eastAsiaTheme="majorEastAsia" w:cstheme="minorHAnsi"/>
          <w:szCs w:val="21"/>
        </w:rPr>
        <w:fldChar w:fldCharType="end"/>
      </w:r>
      <w:r>
        <w:rPr>
          <w:rFonts w:hint="eastAsia" w:asciiTheme="minorHAnsi" w:hAnsiTheme="minorHAnsi" w:eastAsiaTheme="majorEastAsia" w:cstheme="minorHAnsi"/>
          <w:szCs w:val="21"/>
        </w:rPr>
        <w:t xml:space="preserve"> </w:t>
      </w:r>
      <w:r>
        <w:rPr>
          <w:rFonts w:asciiTheme="minorHAnsi" w:hAnsiTheme="minorHAnsi" w:eastAsiaTheme="majorEastAsia" w:cstheme="minorHAnsi"/>
          <w:szCs w:val="21"/>
        </w:rPr>
        <w:t>填写《</w:t>
      </w:r>
      <w:r>
        <w:rPr>
          <w:rFonts w:hint="eastAsia" w:asciiTheme="minorHAnsi" w:hAnsiTheme="minorHAnsi" w:eastAsiaTheme="majorEastAsia" w:cstheme="minorHAnsi"/>
          <w:szCs w:val="21"/>
        </w:rPr>
        <w:t>世界</w:t>
      </w:r>
      <w:r>
        <w:rPr>
          <w:rFonts w:asciiTheme="minorHAnsi" w:hAnsiTheme="minorHAnsi" w:eastAsiaTheme="majorEastAsia" w:cstheme="minorHAnsi"/>
          <w:szCs w:val="21"/>
        </w:rPr>
        <w:t>名校访学20</w:t>
      </w:r>
      <w:r>
        <w:rPr>
          <w:rFonts w:hint="eastAsia" w:asciiTheme="minorHAnsi" w:hAnsiTheme="minorHAnsi" w:eastAsiaTheme="majorEastAsia" w:cstheme="minorHAnsi"/>
          <w:szCs w:val="21"/>
        </w:rPr>
        <w:t>20</w:t>
      </w:r>
      <w:r>
        <w:rPr>
          <w:rFonts w:asciiTheme="minorHAnsi" w:hAnsiTheme="minorHAnsi" w:eastAsiaTheme="majorEastAsia" w:cstheme="minorHAnsi"/>
          <w:szCs w:val="21"/>
        </w:rPr>
        <w:t>-20</w:t>
      </w:r>
      <w:r>
        <w:rPr>
          <w:rFonts w:hint="eastAsia" w:asciiTheme="minorHAnsi" w:hAnsiTheme="minorHAnsi" w:eastAsiaTheme="majorEastAsia" w:cstheme="minorHAnsi"/>
          <w:szCs w:val="21"/>
        </w:rPr>
        <w:t>21</w:t>
      </w:r>
      <w:r>
        <w:rPr>
          <w:rFonts w:asciiTheme="minorHAnsi" w:hAnsiTheme="minorHAnsi" w:eastAsiaTheme="majorEastAsia" w:cstheme="minorHAnsi"/>
          <w:szCs w:val="21"/>
        </w:rPr>
        <w:t>学年</w:t>
      </w:r>
      <w:r>
        <w:rPr>
          <w:rFonts w:hint="eastAsia" w:asciiTheme="minorHAnsi" w:hAnsiTheme="minorHAnsi" w:eastAsiaTheme="majorEastAsia" w:cstheme="minorHAnsi"/>
          <w:szCs w:val="21"/>
        </w:rPr>
        <w:t>夏秋</w:t>
      </w:r>
      <w:r>
        <w:rPr>
          <w:rFonts w:asciiTheme="minorHAnsi" w:hAnsiTheme="minorHAnsi" w:eastAsiaTheme="majorEastAsia" w:cstheme="minorHAnsi"/>
          <w:szCs w:val="21"/>
        </w:rPr>
        <w:t>项目报名表》，网上报名的时间决定录取的顺序和安排宿舍的顺序；</w:t>
      </w:r>
    </w:p>
    <w:p>
      <w:pPr>
        <w:pStyle w:val="17"/>
        <w:numPr>
          <w:ilvl w:val="0"/>
          <w:numId w:val="6"/>
        </w:numPr>
        <w:spacing w:line="360" w:lineRule="auto"/>
        <w:ind w:firstLineChars="0"/>
        <w:jc w:val="left"/>
        <w:rPr>
          <w:rFonts w:asciiTheme="minorHAnsi" w:hAnsiTheme="minorHAnsi" w:eastAsiaTheme="majorEastAsia" w:cstheme="minorHAnsi"/>
          <w:kern w:val="0"/>
          <w:szCs w:val="21"/>
        </w:rPr>
      </w:pPr>
      <w:r>
        <w:rPr>
          <w:rFonts w:asciiTheme="minorHAnsi" w:hAnsiTheme="minorHAnsi" w:eastAsiaTheme="majorEastAsia" w:cstheme="minorHAnsi"/>
          <w:szCs w:val="21"/>
        </w:rPr>
        <w:t>学生申请资料经初步审核后，参加面试确定预录取名单；</w:t>
      </w:r>
    </w:p>
    <w:p>
      <w:pPr>
        <w:pStyle w:val="17"/>
        <w:numPr>
          <w:ilvl w:val="0"/>
          <w:numId w:val="6"/>
        </w:numPr>
        <w:spacing w:line="360" w:lineRule="auto"/>
        <w:ind w:firstLineChars="0"/>
        <w:jc w:val="left"/>
        <w:rPr>
          <w:b/>
          <w:sz w:val="21"/>
          <w:szCs w:val="21"/>
        </w:rPr>
      </w:pPr>
      <w:r>
        <w:rPr>
          <w:rFonts w:cs="Calibri" w:asciiTheme="minorHAnsi" w:hAnsiTheme="minorHAnsi"/>
          <w:szCs w:val="21"/>
        </w:rPr>
        <w:t>学生提交正式申请材料并缴纳项目费用，获得学校录取及签证后赴</w:t>
      </w:r>
      <w:r>
        <w:rPr>
          <w:rFonts w:hint="eastAsia" w:cs="Calibri" w:asciiTheme="minorHAnsi" w:hAnsiTheme="minorHAnsi"/>
          <w:szCs w:val="21"/>
        </w:rPr>
        <w:t>美</w:t>
      </w:r>
      <w:r>
        <w:rPr>
          <w:rFonts w:cs="Calibri" w:asciiTheme="minorHAnsi" w:hAnsiTheme="minorHAnsi"/>
          <w:szCs w:val="21"/>
        </w:rPr>
        <w:t>学习；</w:t>
      </w:r>
    </w:p>
    <w:p>
      <w:pPr>
        <w:pStyle w:val="17"/>
        <w:numPr>
          <w:ilvl w:val="0"/>
          <w:numId w:val="0"/>
        </w:numPr>
        <w:spacing w:line="360" w:lineRule="auto"/>
        <w:ind w:left="210" w:leftChars="0"/>
        <w:jc w:val="left"/>
        <w:rPr>
          <w:rFonts w:ascii="Calibri" w:hAnsi="Calibri" w:cs="Calibri"/>
          <w:color w:val="000000" w:themeColor="text1"/>
          <w:szCs w:val="2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Calibri" w:hAnsi="Calibri" w:cs="Calibri"/>
          <w:color w:val="000000" w:themeColor="text1"/>
          <w:szCs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  <w:t>5）</w:t>
      </w:r>
      <w:r>
        <w:rPr>
          <w:rFonts w:hint="eastAsia" w:ascii="Calibri" w:hAnsi="Calibri" w:cs="Calibri"/>
          <w:color w:val="000000" w:themeColor="text1"/>
          <w:szCs w:val="21"/>
          <w:highlight w:val="none"/>
          <w14:textFill>
            <w14:solidFill>
              <w14:schemeClr w14:val="tx1"/>
            </w14:solidFill>
          </w14:textFill>
        </w:rPr>
        <w:t>咨询电话：</w:t>
      </w:r>
    </w:p>
    <w:p>
      <w:pPr>
        <w:spacing w:line="360" w:lineRule="auto"/>
        <w:ind w:firstLine="211" w:firstLineChars="100"/>
        <w:rPr>
          <w:rFonts w:ascii="宋体" w:hAnsi="宋体" w:cs="宋体"/>
          <w:b/>
          <w:color w:val="000000" w:themeColor="text1"/>
          <w:kern w:val="0"/>
          <w:sz w:val="21"/>
          <w:szCs w:val="2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kern w:val="0"/>
          <w:sz w:val="21"/>
          <w:szCs w:val="21"/>
          <w:highlight w:val="none"/>
          <w14:textFill>
            <w14:solidFill>
              <w14:schemeClr w14:val="tx1"/>
            </w14:solidFill>
          </w14:textFill>
        </w:rPr>
        <w:t xml:space="preserve">国际交流处综合楼707 廖老师 电话：020-84096080 </w:t>
      </w:r>
    </w:p>
    <w:p>
      <w:pPr>
        <w:spacing w:line="360" w:lineRule="auto"/>
        <w:ind w:firstLine="211" w:firstLineChars="100"/>
        <w:rPr>
          <w:rFonts w:hint="eastAsia" w:ascii="宋体" w:hAnsi="宋体" w:cs="宋体"/>
          <w:b/>
          <w:color w:val="000000" w:themeColor="text1"/>
          <w:kern w:val="0"/>
          <w:sz w:val="21"/>
          <w:szCs w:val="2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/>
          <w:color w:val="000000" w:themeColor="text1"/>
          <w:kern w:val="0"/>
          <w:sz w:val="21"/>
          <w:szCs w:val="21"/>
          <w:highlight w:val="none"/>
          <w14:textFill>
            <w14:solidFill>
              <w14:schemeClr w14:val="tx1"/>
            </w14:solidFill>
          </w14:textFill>
        </w:rPr>
        <w:t xml:space="preserve">全美国际教育协会咨询电话: </w:t>
      </w:r>
    </w:p>
    <w:p>
      <w:pPr>
        <w:spacing w:line="360" w:lineRule="auto"/>
        <w:ind w:firstLine="211" w:firstLineChars="100"/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  <w:t>曾老师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14:textFill>
            <w14:solidFill>
              <w14:schemeClr w14:val="tx1"/>
            </w14:solidFill>
          </w14:textFill>
        </w:rPr>
        <w:t xml:space="preserve">189 2278 0945（微信同，周一至周五 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  <w:t>9:00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14:textFill>
            <w14:solidFill>
              <w14:schemeClr w14:val="tx1"/>
            </w14:solidFill>
          </w14:textFill>
        </w:rPr>
        <w:t>—1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  <w:t>8:00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14:textFill>
            <w14:solidFill>
              <w14:schemeClr w14:val="tx1"/>
            </w14:solidFill>
          </w14:textFill>
        </w:rPr>
        <w:t>）</w:t>
      </w:r>
    </w:p>
    <w:p>
      <w:pPr>
        <w:spacing w:line="360" w:lineRule="auto"/>
        <w:ind w:firstLine="211" w:firstLineChars="100"/>
        <w:rPr>
          <w:rFonts w:ascii="Calibri" w:hAnsi="Calibri" w:cs="Calibri"/>
          <w:color w:val="000000" w:themeColor="text1"/>
          <w:sz w:val="21"/>
          <w:szCs w:val="2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  <w:t>朱老师 138 2976 1018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14:textFill>
            <w14:solidFill>
              <w14:schemeClr w14:val="tx1"/>
            </w14:solidFill>
          </w14:textFill>
        </w:rPr>
        <w:t>（微信同</w:t>
      </w:r>
      <w:bookmarkStart w:id="0" w:name="_GoBack"/>
      <w:bookmarkEnd w:id="0"/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14:textFill>
            <w14:solidFill>
              <w14:schemeClr w14:val="tx1"/>
            </w14:solidFill>
          </w14:textFill>
        </w:rPr>
        <w:t xml:space="preserve">，周一至周五 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  <w:t>9:00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14:textFill>
            <w14:solidFill>
              <w14:schemeClr w14:val="tx1"/>
            </w14:solidFill>
          </w14:textFill>
        </w:rPr>
        <w:t>—1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:lang w:val="en-US" w:eastAsia="zh-CN"/>
          <w14:textFill>
            <w14:solidFill>
              <w14:schemeClr w14:val="tx1"/>
            </w14:solidFill>
          </w14:textFill>
        </w:rPr>
        <w:t>8:00</w:t>
      </w:r>
      <w:r>
        <w:rPr>
          <w:rFonts w:hint="eastAsia" w:ascii="Calibri" w:hAnsi="Calibri" w:cs="Calibri"/>
          <w:b/>
          <w:color w:val="000000" w:themeColor="text1"/>
          <w:kern w:val="0"/>
          <w:sz w:val="21"/>
          <w:szCs w:val="21"/>
          <w:highlight w:val="none"/>
          <w14:textFill>
            <w14:solidFill>
              <w14:schemeClr w14:val="tx1"/>
            </w14:solidFill>
          </w14:textFill>
        </w:rPr>
        <w:t>）</w:t>
      </w:r>
    </w:p>
    <w:p>
      <w:pPr>
        <w:widowControl/>
        <w:spacing w:line="360" w:lineRule="auto"/>
        <w:jc w:val="left"/>
        <w:rPr>
          <w:rFonts w:cs="宋体" w:asciiTheme="minorHAnsi" w:hAnsiTheme="minorHAnsi"/>
          <w:kern w:val="0"/>
          <w:szCs w:val="21"/>
        </w:rPr>
      </w:pPr>
      <w:r>
        <w:rPr>
          <w:rFonts w:hint="eastAsia" w:cs="宋体" w:asciiTheme="minorHAnsi" w:hAnsiTheme="minorHAnsi"/>
          <w:kern w:val="0"/>
          <w:szCs w:val="21"/>
        </w:rPr>
        <w:t>———————————————————————————————————————</w:t>
      </w:r>
    </w:p>
    <w:p>
      <w:pPr>
        <w:widowControl/>
        <w:jc w:val="left"/>
        <w:rPr>
          <w:rFonts w:cs="宋体" w:asciiTheme="minorHAnsi" w:hAnsiTheme="minorHAnsi"/>
          <w:b/>
          <w:kern w:val="0"/>
          <w:sz w:val="20"/>
          <w:szCs w:val="21"/>
        </w:rPr>
      </w:pPr>
      <w:r>
        <w:rPr>
          <w:rFonts w:hint="eastAsia" w:cs="宋体" w:asciiTheme="minorHAnsi" w:hAnsiTheme="minorHAnsi"/>
          <w:b/>
          <w:kern w:val="0"/>
          <w:sz w:val="20"/>
          <w:szCs w:val="21"/>
        </w:rPr>
        <w:t>关于全美国际教育协会</w:t>
      </w:r>
    </w:p>
    <w:p>
      <w:pPr>
        <w:widowControl/>
        <w:jc w:val="left"/>
        <w:rPr>
          <w:rFonts w:cs="宋体" w:asciiTheme="minorHAnsi" w:hAnsiTheme="minorHAnsi"/>
          <w:b/>
          <w:kern w:val="0"/>
          <w:sz w:val="20"/>
          <w:szCs w:val="21"/>
        </w:rPr>
      </w:pPr>
      <w:r>
        <w:fldChar w:fldCharType="begin"/>
      </w:r>
      <w:r>
        <w:instrText xml:space="preserve"> HYPERLINK "http://www.usiea.org" </w:instrText>
      </w:r>
      <w:r>
        <w:fldChar w:fldCharType="separate"/>
      </w:r>
      <w:r>
        <w:rPr>
          <w:rFonts w:hint="eastAsia" w:cs="宋体" w:asciiTheme="minorHAnsi" w:hAnsiTheme="minorHAnsi"/>
          <w:b/>
          <w:color w:val="0068B7"/>
          <w:kern w:val="0"/>
          <w:sz w:val="20"/>
          <w:szCs w:val="21"/>
        </w:rPr>
        <w:t>www.usiea.org</w:t>
      </w:r>
      <w:r>
        <w:rPr>
          <w:rFonts w:hint="eastAsia" w:cs="宋体" w:asciiTheme="minorHAnsi" w:hAnsiTheme="minorHAnsi"/>
          <w:b/>
          <w:color w:val="0068B7"/>
          <w:kern w:val="0"/>
          <w:sz w:val="20"/>
          <w:szCs w:val="21"/>
        </w:rPr>
        <w:fldChar w:fldCharType="end"/>
      </w:r>
    </w:p>
    <w:p>
      <w:pPr>
        <w:widowControl/>
        <w:jc w:val="left"/>
        <w:rPr>
          <w:rFonts w:cs="宋体" w:asciiTheme="minorHAnsi" w:hAnsiTheme="minorHAnsi"/>
          <w:b/>
          <w:kern w:val="0"/>
          <w:sz w:val="20"/>
          <w:szCs w:val="21"/>
        </w:rPr>
      </w:pPr>
    </w:p>
    <w:p>
      <w:pPr>
        <w:widowControl/>
        <w:jc w:val="left"/>
        <w:rPr>
          <w:rFonts w:cs="宋体" w:asciiTheme="minorHAnsi" w:hAnsiTheme="minorHAnsi"/>
          <w:kern w:val="0"/>
          <w:szCs w:val="21"/>
        </w:rPr>
      </w:pPr>
      <w:r>
        <w:rPr>
          <w:rFonts w:hint="eastAsia" w:cs="宋体" w:asciiTheme="minorHAnsi" w:hAnsiTheme="minorHAnsi"/>
          <w:kern w:val="0"/>
          <w:szCs w:val="21"/>
        </w:rPr>
        <w:t>US International Education Association全美国际教育协会是在美国注册的非营利机构，旨在通过与中外高校的合作，为每一位大学生提供高品质的世界名校访学机会，共同培养具备全球胜任力的优秀大学生，促进不同文化间的沟通、理解与合作。</w:t>
      </w:r>
    </w:p>
    <w:p>
      <w:pPr>
        <w:widowControl/>
        <w:jc w:val="left"/>
        <w:rPr>
          <w:rFonts w:cs="宋体" w:asciiTheme="minorHAnsi" w:hAnsiTheme="minorHAnsi"/>
          <w:kern w:val="0"/>
          <w:sz w:val="20"/>
          <w:szCs w:val="21"/>
        </w:rPr>
      </w:pPr>
    </w:p>
    <w:p>
      <w:pPr>
        <w:widowControl/>
        <w:jc w:val="left"/>
        <w:rPr>
          <w:rFonts w:cs="宋体" w:asciiTheme="minorHAnsi" w:hAnsiTheme="minorHAnsi"/>
          <w:kern w:val="0"/>
          <w:sz w:val="20"/>
          <w:szCs w:val="21"/>
        </w:rPr>
      </w:pPr>
      <w:r>
        <w:rPr>
          <w:rFonts w:hint="eastAsia" w:cs="宋体" w:asciiTheme="minorHAnsi" w:hAnsiTheme="minorHAnsi"/>
          <w:kern w:val="0"/>
          <w:sz w:val="20"/>
          <w:szCs w:val="21"/>
        </w:rPr>
        <w:t>全美国际教育协会受美国哥伦比亚大学、宾夕法尼亚大学、波士顿大学、威斯康星大学麦迪逊分校、加州大学伯克利分校、加州大学圣地亚哥分校、加州大学河滨分校、乔治华盛顿大学、英国剑桥大学、伦敦政治经济学院、伦敦国王学院、加拿大多伦多大学、麦吉尔大学、英属哥伦比亚大学、澳大利亚昆士兰大学、新南威尔士大学、阿德莱德大学等20多所世界级名校的委托，与中国80多所高校合作选拔品学兼优的学生赴海外参加访学项目。</w:t>
      </w:r>
    </w:p>
    <w:p>
      <w:pPr>
        <w:widowControl/>
        <w:jc w:val="left"/>
        <w:rPr>
          <w:rFonts w:cs="宋体" w:asciiTheme="minorHAnsi" w:hAnsiTheme="minorHAnsi"/>
          <w:kern w:val="0"/>
          <w:sz w:val="20"/>
          <w:szCs w:val="21"/>
        </w:rPr>
      </w:pPr>
    </w:p>
    <w:p>
      <w:pPr>
        <w:widowControl/>
        <w:jc w:val="left"/>
        <w:rPr>
          <w:rFonts w:cs="宋体" w:asciiTheme="minorHAnsi" w:hAnsiTheme="minorHAnsi"/>
          <w:kern w:val="0"/>
          <w:sz w:val="20"/>
          <w:szCs w:val="21"/>
        </w:rPr>
      </w:pPr>
      <w:r>
        <w:rPr>
          <w:rFonts w:hint="eastAsia" w:cs="宋体" w:asciiTheme="minorHAnsi" w:hAnsiTheme="minorHAnsi"/>
          <w:kern w:val="0"/>
          <w:sz w:val="20"/>
          <w:szCs w:val="21"/>
        </w:rPr>
        <w:t>全美国际教育协会在北京、南京、杭州、广州、西安、成都、郑州设有办公室，为中国合作高校和学生提供与访学项目相关的全流程服务。</w:t>
      </w:r>
    </w:p>
    <w:p>
      <w:pPr>
        <w:spacing w:line="360" w:lineRule="auto"/>
        <w:ind w:left="360"/>
        <w:rPr>
          <w:rFonts w:asciiTheme="minorHAnsi" w:hAnsiTheme="minorHAnsi" w:eastAsiaTheme="majorEastAsia" w:cstheme="minorHAnsi"/>
          <w:szCs w:val="21"/>
        </w:rPr>
      </w:pPr>
    </w:p>
    <w:p>
      <w:pPr>
        <w:spacing w:line="360" w:lineRule="auto"/>
        <w:rPr>
          <w:rFonts w:cs="Calibri" w:asciiTheme="minorHAnsi" w:hAnsiTheme="minorHAnsi"/>
          <w:kern w:val="0"/>
          <w:sz w:val="22"/>
        </w:rPr>
      </w:pPr>
      <w:r>
        <w:rPr>
          <w:rFonts w:cs="宋体" w:asciiTheme="minorHAnsi" w:hAnsiTheme="minorHAnsi"/>
          <w:kern w:val="0"/>
          <w:szCs w:val="21"/>
        </w:rPr>
        <w:t>全美国际教育协会官网</w:t>
      </w:r>
      <w:r>
        <w:rPr>
          <w:rFonts w:cs="宋体" w:asciiTheme="minorHAnsi" w:hAnsiTheme="minorHAnsi"/>
          <w:kern w:val="0"/>
          <w:sz w:val="20"/>
          <w:szCs w:val="21"/>
        </w:rPr>
        <w:t>：</w:t>
      </w:r>
      <w:r>
        <w:fldChar w:fldCharType="begin"/>
      </w:r>
      <w:r>
        <w:instrText xml:space="preserve"> HYPERLINK "http://www.usiea.org" </w:instrText>
      </w:r>
      <w:r>
        <w:fldChar w:fldCharType="separate"/>
      </w:r>
      <w:r>
        <w:rPr>
          <w:rFonts w:cs="Calibri" w:asciiTheme="minorHAnsi" w:hAnsiTheme="minorHAnsi"/>
          <w:color w:val="0068B7"/>
          <w:kern w:val="0"/>
          <w:sz w:val="22"/>
        </w:rPr>
        <w:t>www.usiea.org</w:t>
      </w:r>
      <w:r>
        <w:rPr>
          <w:rFonts w:cs="Calibri" w:asciiTheme="minorHAnsi" w:hAnsiTheme="minorHAnsi"/>
          <w:color w:val="0068B7"/>
          <w:kern w:val="0"/>
          <w:sz w:val="22"/>
        </w:rPr>
        <w:fldChar w:fldCharType="end"/>
      </w:r>
      <w:r>
        <w:rPr>
          <w:rFonts w:cs="Calibri" w:asciiTheme="minorHAnsi" w:hAnsiTheme="minorHAnsi"/>
          <w:kern w:val="0"/>
          <w:sz w:val="22"/>
        </w:rPr>
        <w:t xml:space="preserve"> </w:t>
      </w:r>
    </w:p>
    <w:p>
      <w:pPr>
        <w:spacing w:line="360" w:lineRule="auto"/>
        <w:rPr>
          <w:rFonts w:cs="宋体" w:asciiTheme="minorHAnsi" w:hAnsiTheme="minorHAnsi"/>
          <w:kern w:val="0"/>
          <w:szCs w:val="21"/>
        </w:rPr>
      </w:pPr>
      <w:r>
        <w:rPr>
          <w:rFonts w:cs="宋体" w:asciiTheme="minorHAnsi" w:hAnsiTheme="minorHAnsi"/>
          <w:kern w:val="0"/>
          <w:szCs w:val="21"/>
        </w:rPr>
        <w:t>全美国际教育协会官微：全美国际访学微刊</w:t>
      </w:r>
    </w:p>
    <w:p>
      <w:pPr>
        <w:widowControl/>
        <w:spacing w:line="360" w:lineRule="auto"/>
        <w:jc w:val="left"/>
        <w:rPr>
          <w:rFonts w:ascii="宋体" w:hAnsi="宋体" w:cs="宋体"/>
          <w:kern w:val="0"/>
          <w:szCs w:val="21"/>
        </w:rPr>
      </w:pPr>
      <w:r>
        <w:rPr>
          <w:rFonts w:ascii="Calibri" w:hAnsi="Calibri" w:cs="Calibri"/>
          <w:kern w:val="0"/>
          <w:szCs w:val="21"/>
        </w:rPr>
        <w:t>项目邮箱咨询：</w:t>
      </w:r>
      <w:r>
        <w:fldChar w:fldCharType="begin"/>
      </w:r>
      <w:r>
        <w:instrText xml:space="preserve"> HYPERLINK "mailto:visitcu@yeah.net" </w:instrText>
      </w:r>
      <w:r>
        <w:fldChar w:fldCharType="separate"/>
      </w:r>
      <w:r>
        <w:rPr>
          <w:rStyle w:val="13"/>
          <w:rFonts w:ascii="Calibri" w:hAnsi="Calibri" w:cs="Calibri"/>
          <w:kern w:val="0"/>
          <w:sz w:val="22"/>
        </w:rPr>
        <w:t>visit</w:t>
      </w:r>
      <w:r>
        <w:rPr>
          <w:rStyle w:val="13"/>
          <w:rFonts w:hint="eastAsia" w:ascii="Calibri" w:hAnsi="Calibri" w:cs="Calibri"/>
          <w:kern w:val="0"/>
          <w:sz w:val="22"/>
        </w:rPr>
        <w:t>cu</w:t>
      </w:r>
      <w:r>
        <w:rPr>
          <w:rStyle w:val="13"/>
          <w:rFonts w:ascii="Calibri" w:hAnsi="Calibri" w:cs="Calibri"/>
          <w:kern w:val="0"/>
          <w:sz w:val="22"/>
        </w:rPr>
        <w:t>@yeah.net</w:t>
      </w:r>
      <w:r>
        <w:rPr>
          <w:rStyle w:val="13"/>
          <w:rFonts w:ascii="Calibri" w:hAnsi="Calibri" w:cs="Calibri"/>
          <w:kern w:val="0"/>
          <w:sz w:val="22"/>
        </w:rPr>
        <w:fldChar w:fldCharType="end"/>
      </w:r>
    </w:p>
    <w:sectPr>
      <w:headerReference r:id="rId3" w:type="default"/>
      <w:pgSz w:w="11906" w:h="16838"/>
      <w:pgMar w:top="2025" w:right="1800" w:bottom="1440" w:left="1800" w:header="737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0" w:lineRule="atLeast"/>
      <w:ind w:right="-336" w:rightChars="-160"/>
      <w:rPr>
        <w:rFonts w:ascii="微软雅黑" w:hAnsi="微软雅黑" w:eastAsia="微软雅黑"/>
        <w:sz w:val="30"/>
        <w:szCs w:val="30"/>
        <w:lang w:val="en-C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91C33"/>
    <w:multiLevelType w:val="multilevel"/>
    <w:tmpl w:val="00E91C33"/>
    <w:lvl w:ilvl="0" w:tentative="0">
      <w:start w:val="1"/>
      <w:numFmt w:val="japaneseCounting"/>
      <w:lvlText w:val="%1、"/>
      <w:lvlJc w:val="left"/>
      <w:pPr>
        <w:ind w:left="440" w:hanging="44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3931E04"/>
    <w:multiLevelType w:val="multilevel"/>
    <w:tmpl w:val="13931E04"/>
    <w:lvl w:ilvl="0" w:tentative="0">
      <w:start w:val="1"/>
      <w:numFmt w:val="bullet"/>
      <w:lvlText w:val=""/>
      <w:lvlJc w:val="left"/>
      <w:pPr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00" w:hanging="420"/>
      </w:pPr>
      <w:rPr>
        <w:rFonts w:hint="default" w:ascii="Wingdings" w:hAnsi="Wingdings"/>
      </w:rPr>
    </w:lvl>
  </w:abstractNum>
  <w:abstractNum w:abstractNumId="2">
    <w:nsid w:val="4C9701D3"/>
    <w:multiLevelType w:val="multilevel"/>
    <w:tmpl w:val="4C9701D3"/>
    <w:lvl w:ilvl="0" w:tentative="0">
      <w:start w:val="1"/>
      <w:numFmt w:val="bullet"/>
      <w:lvlText w:val=""/>
      <w:lvlJc w:val="left"/>
      <w:pPr>
        <w:ind w:left="1260" w:hanging="420"/>
      </w:pPr>
      <w:rPr>
        <w:rFonts w:hint="default" w:ascii="Symbol" w:hAnsi="Symbol"/>
      </w:rPr>
    </w:lvl>
    <w:lvl w:ilvl="1" w:tentative="0">
      <w:start w:val="1"/>
      <w:numFmt w:val="bullet"/>
      <w:lvlText w:val=""/>
      <w:lvlJc w:val="left"/>
      <w:pPr>
        <w:ind w:left="168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210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52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94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36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78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20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620" w:hanging="420"/>
      </w:pPr>
      <w:rPr>
        <w:rFonts w:hint="default" w:ascii="Wingdings" w:hAnsi="Wingdings"/>
      </w:rPr>
    </w:lvl>
  </w:abstractNum>
  <w:abstractNum w:abstractNumId="3">
    <w:nsid w:val="61B36ACD"/>
    <w:multiLevelType w:val="multilevel"/>
    <w:tmpl w:val="61B36ACD"/>
    <w:lvl w:ilvl="0" w:tentative="0">
      <w:start w:val="1"/>
      <w:numFmt w:val="decimal"/>
      <w:lvlText w:val="%1）"/>
      <w:lvlJc w:val="left"/>
      <w:pPr>
        <w:ind w:left="57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050" w:hanging="420"/>
      </w:pPr>
    </w:lvl>
    <w:lvl w:ilvl="2" w:tentative="0">
      <w:start w:val="1"/>
      <w:numFmt w:val="lowerRoman"/>
      <w:lvlText w:val="%3."/>
      <w:lvlJc w:val="right"/>
      <w:pPr>
        <w:ind w:left="1470" w:hanging="420"/>
      </w:pPr>
    </w:lvl>
    <w:lvl w:ilvl="3" w:tentative="0">
      <w:start w:val="1"/>
      <w:numFmt w:val="decimal"/>
      <w:lvlText w:val="%4."/>
      <w:lvlJc w:val="left"/>
      <w:pPr>
        <w:ind w:left="1890" w:hanging="420"/>
      </w:pPr>
    </w:lvl>
    <w:lvl w:ilvl="4" w:tentative="0">
      <w:start w:val="1"/>
      <w:numFmt w:val="lowerLetter"/>
      <w:lvlText w:val="%5)"/>
      <w:lvlJc w:val="left"/>
      <w:pPr>
        <w:ind w:left="2310" w:hanging="420"/>
      </w:pPr>
    </w:lvl>
    <w:lvl w:ilvl="5" w:tentative="0">
      <w:start w:val="1"/>
      <w:numFmt w:val="lowerRoman"/>
      <w:lvlText w:val="%6."/>
      <w:lvlJc w:val="right"/>
      <w:pPr>
        <w:ind w:left="2730" w:hanging="420"/>
      </w:pPr>
    </w:lvl>
    <w:lvl w:ilvl="6" w:tentative="0">
      <w:start w:val="1"/>
      <w:numFmt w:val="decimal"/>
      <w:lvlText w:val="%7."/>
      <w:lvlJc w:val="left"/>
      <w:pPr>
        <w:ind w:left="3150" w:hanging="420"/>
      </w:pPr>
    </w:lvl>
    <w:lvl w:ilvl="7" w:tentative="0">
      <w:start w:val="1"/>
      <w:numFmt w:val="lowerLetter"/>
      <w:lvlText w:val="%8)"/>
      <w:lvlJc w:val="left"/>
      <w:pPr>
        <w:ind w:left="3570" w:hanging="420"/>
      </w:pPr>
    </w:lvl>
    <w:lvl w:ilvl="8" w:tentative="0">
      <w:start w:val="1"/>
      <w:numFmt w:val="lowerRoman"/>
      <w:lvlText w:val="%9."/>
      <w:lvlJc w:val="right"/>
      <w:pPr>
        <w:ind w:left="3990" w:hanging="420"/>
      </w:pPr>
    </w:lvl>
  </w:abstractNum>
  <w:abstractNum w:abstractNumId="4">
    <w:nsid w:val="6D50662A"/>
    <w:multiLevelType w:val="multilevel"/>
    <w:tmpl w:val="6D50662A"/>
    <w:lvl w:ilvl="0" w:tentative="0">
      <w:start w:val="1"/>
      <w:numFmt w:val="decimal"/>
      <w:lvlText w:val="%1)"/>
      <w:lvlJc w:val="left"/>
      <w:pPr>
        <w:ind w:left="630" w:hanging="420"/>
      </w:pPr>
    </w:lvl>
    <w:lvl w:ilvl="1" w:tentative="0">
      <w:start w:val="1"/>
      <w:numFmt w:val="lowerLetter"/>
      <w:lvlText w:val="%2)"/>
      <w:lvlJc w:val="left"/>
      <w:pPr>
        <w:ind w:left="1050" w:hanging="420"/>
      </w:pPr>
    </w:lvl>
    <w:lvl w:ilvl="2" w:tentative="0">
      <w:start w:val="1"/>
      <w:numFmt w:val="lowerRoman"/>
      <w:lvlText w:val="%3."/>
      <w:lvlJc w:val="right"/>
      <w:pPr>
        <w:ind w:left="1470" w:hanging="420"/>
      </w:pPr>
    </w:lvl>
    <w:lvl w:ilvl="3" w:tentative="0">
      <w:start w:val="1"/>
      <w:numFmt w:val="decimal"/>
      <w:lvlText w:val="%4."/>
      <w:lvlJc w:val="left"/>
      <w:pPr>
        <w:ind w:left="1890" w:hanging="420"/>
      </w:pPr>
    </w:lvl>
    <w:lvl w:ilvl="4" w:tentative="0">
      <w:start w:val="1"/>
      <w:numFmt w:val="lowerLetter"/>
      <w:lvlText w:val="%5)"/>
      <w:lvlJc w:val="left"/>
      <w:pPr>
        <w:ind w:left="2310" w:hanging="420"/>
      </w:pPr>
    </w:lvl>
    <w:lvl w:ilvl="5" w:tentative="0">
      <w:start w:val="1"/>
      <w:numFmt w:val="lowerRoman"/>
      <w:lvlText w:val="%6."/>
      <w:lvlJc w:val="right"/>
      <w:pPr>
        <w:ind w:left="2730" w:hanging="420"/>
      </w:pPr>
    </w:lvl>
    <w:lvl w:ilvl="6" w:tentative="0">
      <w:start w:val="1"/>
      <w:numFmt w:val="decimal"/>
      <w:lvlText w:val="%7."/>
      <w:lvlJc w:val="left"/>
      <w:pPr>
        <w:ind w:left="3150" w:hanging="420"/>
      </w:pPr>
    </w:lvl>
    <w:lvl w:ilvl="7" w:tentative="0">
      <w:start w:val="1"/>
      <w:numFmt w:val="lowerLetter"/>
      <w:lvlText w:val="%8)"/>
      <w:lvlJc w:val="left"/>
      <w:pPr>
        <w:ind w:left="3570" w:hanging="420"/>
      </w:pPr>
    </w:lvl>
    <w:lvl w:ilvl="8" w:tentative="0">
      <w:start w:val="1"/>
      <w:numFmt w:val="lowerRoman"/>
      <w:lvlText w:val="%9."/>
      <w:lvlJc w:val="right"/>
      <w:pPr>
        <w:ind w:left="3990" w:hanging="420"/>
      </w:pPr>
    </w:lvl>
  </w:abstractNum>
  <w:abstractNum w:abstractNumId="5">
    <w:nsid w:val="77F013D8"/>
    <w:multiLevelType w:val="multilevel"/>
    <w:tmpl w:val="77F013D8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5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0A8F"/>
    <w:rsid w:val="00001149"/>
    <w:rsid w:val="000035D7"/>
    <w:rsid w:val="00010F31"/>
    <w:rsid w:val="000147FF"/>
    <w:rsid w:val="000169DD"/>
    <w:rsid w:val="00022AFD"/>
    <w:rsid w:val="000230BD"/>
    <w:rsid w:val="000236D2"/>
    <w:rsid w:val="00024C64"/>
    <w:rsid w:val="00025206"/>
    <w:rsid w:val="0003068E"/>
    <w:rsid w:val="00030A02"/>
    <w:rsid w:val="00031403"/>
    <w:rsid w:val="000362BD"/>
    <w:rsid w:val="000402B0"/>
    <w:rsid w:val="00041148"/>
    <w:rsid w:val="00041BDA"/>
    <w:rsid w:val="00044599"/>
    <w:rsid w:val="000519A2"/>
    <w:rsid w:val="0005389A"/>
    <w:rsid w:val="0006181E"/>
    <w:rsid w:val="00065242"/>
    <w:rsid w:val="000675A7"/>
    <w:rsid w:val="000820F9"/>
    <w:rsid w:val="0009206E"/>
    <w:rsid w:val="000954F4"/>
    <w:rsid w:val="000A0A86"/>
    <w:rsid w:val="000A248D"/>
    <w:rsid w:val="000A2A22"/>
    <w:rsid w:val="000A4030"/>
    <w:rsid w:val="000A5251"/>
    <w:rsid w:val="000B1A29"/>
    <w:rsid w:val="000C2F7C"/>
    <w:rsid w:val="000C2FF5"/>
    <w:rsid w:val="000C3F5B"/>
    <w:rsid w:val="000C4E56"/>
    <w:rsid w:val="000C5C18"/>
    <w:rsid w:val="000C7F9A"/>
    <w:rsid w:val="000D2EEA"/>
    <w:rsid w:val="000E1209"/>
    <w:rsid w:val="000F168E"/>
    <w:rsid w:val="000F6E7C"/>
    <w:rsid w:val="001013E1"/>
    <w:rsid w:val="0010196F"/>
    <w:rsid w:val="001051AF"/>
    <w:rsid w:val="00106BA3"/>
    <w:rsid w:val="00110B1F"/>
    <w:rsid w:val="00110EDA"/>
    <w:rsid w:val="0011231F"/>
    <w:rsid w:val="00112EFC"/>
    <w:rsid w:val="001131EA"/>
    <w:rsid w:val="00116EF3"/>
    <w:rsid w:val="00120A5E"/>
    <w:rsid w:val="0012340B"/>
    <w:rsid w:val="0012488E"/>
    <w:rsid w:val="00124B0D"/>
    <w:rsid w:val="00127FE8"/>
    <w:rsid w:val="00134011"/>
    <w:rsid w:val="00135F93"/>
    <w:rsid w:val="0013686A"/>
    <w:rsid w:val="00143E74"/>
    <w:rsid w:val="00146AB9"/>
    <w:rsid w:val="00151E96"/>
    <w:rsid w:val="00167799"/>
    <w:rsid w:val="00170451"/>
    <w:rsid w:val="001738F0"/>
    <w:rsid w:val="00176F21"/>
    <w:rsid w:val="00182E04"/>
    <w:rsid w:val="001834A2"/>
    <w:rsid w:val="00186190"/>
    <w:rsid w:val="001869B8"/>
    <w:rsid w:val="00192C0F"/>
    <w:rsid w:val="001A0C7A"/>
    <w:rsid w:val="001A281F"/>
    <w:rsid w:val="001A4E99"/>
    <w:rsid w:val="001A7D56"/>
    <w:rsid w:val="001B1369"/>
    <w:rsid w:val="001B1730"/>
    <w:rsid w:val="001B49B3"/>
    <w:rsid w:val="001C1A51"/>
    <w:rsid w:val="001C3481"/>
    <w:rsid w:val="001C6985"/>
    <w:rsid w:val="001D4042"/>
    <w:rsid w:val="001D4EF4"/>
    <w:rsid w:val="001E31D7"/>
    <w:rsid w:val="001E5D98"/>
    <w:rsid w:val="001E7571"/>
    <w:rsid w:val="001F00DB"/>
    <w:rsid w:val="001F5524"/>
    <w:rsid w:val="00202030"/>
    <w:rsid w:val="00203BFF"/>
    <w:rsid w:val="002133F2"/>
    <w:rsid w:val="0021711E"/>
    <w:rsid w:val="00220E2D"/>
    <w:rsid w:val="0022214B"/>
    <w:rsid w:val="0022260C"/>
    <w:rsid w:val="002274D9"/>
    <w:rsid w:val="00231B5A"/>
    <w:rsid w:val="00242260"/>
    <w:rsid w:val="002441C6"/>
    <w:rsid w:val="002449A1"/>
    <w:rsid w:val="00251642"/>
    <w:rsid w:val="00254885"/>
    <w:rsid w:val="00255140"/>
    <w:rsid w:val="00261406"/>
    <w:rsid w:val="00261C11"/>
    <w:rsid w:val="00271BCB"/>
    <w:rsid w:val="00275270"/>
    <w:rsid w:val="0028056A"/>
    <w:rsid w:val="002852EE"/>
    <w:rsid w:val="0029179F"/>
    <w:rsid w:val="00292326"/>
    <w:rsid w:val="00295361"/>
    <w:rsid w:val="00296348"/>
    <w:rsid w:val="00297E1A"/>
    <w:rsid w:val="002A402F"/>
    <w:rsid w:val="002B61DD"/>
    <w:rsid w:val="002B7076"/>
    <w:rsid w:val="002C2028"/>
    <w:rsid w:val="002C229B"/>
    <w:rsid w:val="002C27D4"/>
    <w:rsid w:val="002C571A"/>
    <w:rsid w:val="002C6AEB"/>
    <w:rsid w:val="002C722D"/>
    <w:rsid w:val="002D04D0"/>
    <w:rsid w:val="002D76B2"/>
    <w:rsid w:val="002E1476"/>
    <w:rsid w:val="002E3299"/>
    <w:rsid w:val="002E4985"/>
    <w:rsid w:val="002E64CC"/>
    <w:rsid w:val="002F1A53"/>
    <w:rsid w:val="002F3568"/>
    <w:rsid w:val="002F7AB9"/>
    <w:rsid w:val="0030157A"/>
    <w:rsid w:val="00302995"/>
    <w:rsid w:val="00303D3D"/>
    <w:rsid w:val="0031712B"/>
    <w:rsid w:val="00321717"/>
    <w:rsid w:val="00321D5F"/>
    <w:rsid w:val="00333C15"/>
    <w:rsid w:val="00334538"/>
    <w:rsid w:val="003354A1"/>
    <w:rsid w:val="003423E0"/>
    <w:rsid w:val="00342D9D"/>
    <w:rsid w:val="00342E7E"/>
    <w:rsid w:val="003643BE"/>
    <w:rsid w:val="0037277F"/>
    <w:rsid w:val="003738EA"/>
    <w:rsid w:val="00375491"/>
    <w:rsid w:val="003822A8"/>
    <w:rsid w:val="00383DCC"/>
    <w:rsid w:val="00386A4E"/>
    <w:rsid w:val="00386C51"/>
    <w:rsid w:val="00387362"/>
    <w:rsid w:val="00390FCA"/>
    <w:rsid w:val="00394A95"/>
    <w:rsid w:val="00396306"/>
    <w:rsid w:val="00397742"/>
    <w:rsid w:val="003B4151"/>
    <w:rsid w:val="003B669C"/>
    <w:rsid w:val="003B786E"/>
    <w:rsid w:val="003C6A2D"/>
    <w:rsid w:val="003C6EF7"/>
    <w:rsid w:val="003D0F7B"/>
    <w:rsid w:val="003D0FE9"/>
    <w:rsid w:val="003D2BCE"/>
    <w:rsid w:val="003D4037"/>
    <w:rsid w:val="003D4529"/>
    <w:rsid w:val="003D4B46"/>
    <w:rsid w:val="003D5F48"/>
    <w:rsid w:val="003E01B3"/>
    <w:rsid w:val="003E3199"/>
    <w:rsid w:val="003F050A"/>
    <w:rsid w:val="003F059B"/>
    <w:rsid w:val="003F4EDA"/>
    <w:rsid w:val="003F50D1"/>
    <w:rsid w:val="003F5F88"/>
    <w:rsid w:val="003F73EF"/>
    <w:rsid w:val="00404963"/>
    <w:rsid w:val="0041273F"/>
    <w:rsid w:val="00426325"/>
    <w:rsid w:val="00430381"/>
    <w:rsid w:val="00437101"/>
    <w:rsid w:val="00437A33"/>
    <w:rsid w:val="00437B77"/>
    <w:rsid w:val="004421B1"/>
    <w:rsid w:val="00442AE1"/>
    <w:rsid w:val="004469A3"/>
    <w:rsid w:val="004472FC"/>
    <w:rsid w:val="0045270B"/>
    <w:rsid w:val="00454C45"/>
    <w:rsid w:val="004624BE"/>
    <w:rsid w:val="00465A92"/>
    <w:rsid w:val="004674CE"/>
    <w:rsid w:val="004679CE"/>
    <w:rsid w:val="00470270"/>
    <w:rsid w:val="00471CBF"/>
    <w:rsid w:val="00485AD1"/>
    <w:rsid w:val="004932B6"/>
    <w:rsid w:val="004946E0"/>
    <w:rsid w:val="00495E6D"/>
    <w:rsid w:val="004A1602"/>
    <w:rsid w:val="004A51A8"/>
    <w:rsid w:val="004B4D89"/>
    <w:rsid w:val="004B516E"/>
    <w:rsid w:val="004C0E26"/>
    <w:rsid w:val="004C343D"/>
    <w:rsid w:val="004C5277"/>
    <w:rsid w:val="004C6632"/>
    <w:rsid w:val="004D3884"/>
    <w:rsid w:val="004D498F"/>
    <w:rsid w:val="004D5BBA"/>
    <w:rsid w:val="004E0748"/>
    <w:rsid w:val="004E728E"/>
    <w:rsid w:val="004F0AAB"/>
    <w:rsid w:val="004F743F"/>
    <w:rsid w:val="004F7C1B"/>
    <w:rsid w:val="00500A8F"/>
    <w:rsid w:val="005060F9"/>
    <w:rsid w:val="00510599"/>
    <w:rsid w:val="00512BAE"/>
    <w:rsid w:val="005167D4"/>
    <w:rsid w:val="00520C0E"/>
    <w:rsid w:val="00522EAE"/>
    <w:rsid w:val="005250F2"/>
    <w:rsid w:val="00525703"/>
    <w:rsid w:val="005326B5"/>
    <w:rsid w:val="005339BB"/>
    <w:rsid w:val="00536F45"/>
    <w:rsid w:val="00537EE6"/>
    <w:rsid w:val="00547E75"/>
    <w:rsid w:val="0055315D"/>
    <w:rsid w:val="00555016"/>
    <w:rsid w:val="00556212"/>
    <w:rsid w:val="00563F7F"/>
    <w:rsid w:val="0057138A"/>
    <w:rsid w:val="00572B6E"/>
    <w:rsid w:val="00573C15"/>
    <w:rsid w:val="0057494B"/>
    <w:rsid w:val="005762B0"/>
    <w:rsid w:val="00584716"/>
    <w:rsid w:val="005849E3"/>
    <w:rsid w:val="00584E4F"/>
    <w:rsid w:val="00584E6C"/>
    <w:rsid w:val="00586D6C"/>
    <w:rsid w:val="00587D18"/>
    <w:rsid w:val="00596D1A"/>
    <w:rsid w:val="005A31F5"/>
    <w:rsid w:val="005A65C8"/>
    <w:rsid w:val="005B69C2"/>
    <w:rsid w:val="005C27A1"/>
    <w:rsid w:val="005C43F0"/>
    <w:rsid w:val="005C7CC0"/>
    <w:rsid w:val="005D0683"/>
    <w:rsid w:val="005E5A41"/>
    <w:rsid w:val="005E674A"/>
    <w:rsid w:val="005E6E17"/>
    <w:rsid w:val="005F6112"/>
    <w:rsid w:val="00606AA2"/>
    <w:rsid w:val="00606C4F"/>
    <w:rsid w:val="00615CF7"/>
    <w:rsid w:val="00617A76"/>
    <w:rsid w:val="00621ED0"/>
    <w:rsid w:val="00622238"/>
    <w:rsid w:val="00624494"/>
    <w:rsid w:val="00624BB2"/>
    <w:rsid w:val="00632329"/>
    <w:rsid w:val="00637AD1"/>
    <w:rsid w:val="006421C2"/>
    <w:rsid w:val="006452B3"/>
    <w:rsid w:val="0066295A"/>
    <w:rsid w:val="00663035"/>
    <w:rsid w:val="00664055"/>
    <w:rsid w:val="00666CF9"/>
    <w:rsid w:val="00667457"/>
    <w:rsid w:val="00667A61"/>
    <w:rsid w:val="00670ED6"/>
    <w:rsid w:val="0067541F"/>
    <w:rsid w:val="00682105"/>
    <w:rsid w:val="006858D5"/>
    <w:rsid w:val="00687DBB"/>
    <w:rsid w:val="00696B1C"/>
    <w:rsid w:val="006A2B5F"/>
    <w:rsid w:val="006A6A07"/>
    <w:rsid w:val="006A72B8"/>
    <w:rsid w:val="006B1E37"/>
    <w:rsid w:val="006C2070"/>
    <w:rsid w:val="006D5B15"/>
    <w:rsid w:val="006D642C"/>
    <w:rsid w:val="00700EA9"/>
    <w:rsid w:val="0070255A"/>
    <w:rsid w:val="00705BEF"/>
    <w:rsid w:val="00706179"/>
    <w:rsid w:val="007113DD"/>
    <w:rsid w:val="0071430B"/>
    <w:rsid w:val="00720659"/>
    <w:rsid w:val="0072201D"/>
    <w:rsid w:val="007243E9"/>
    <w:rsid w:val="00733292"/>
    <w:rsid w:val="007423FD"/>
    <w:rsid w:val="0076199E"/>
    <w:rsid w:val="007619AD"/>
    <w:rsid w:val="00762330"/>
    <w:rsid w:val="007640E0"/>
    <w:rsid w:val="007652B1"/>
    <w:rsid w:val="00770616"/>
    <w:rsid w:val="00772E22"/>
    <w:rsid w:val="00775505"/>
    <w:rsid w:val="00776AE1"/>
    <w:rsid w:val="0078010F"/>
    <w:rsid w:val="00785C31"/>
    <w:rsid w:val="007970A2"/>
    <w:rsid w:val="007A01B4"/>
    <w:rsid w:val="007A03BE"/>
    <w:rsid w:val="007A07E5"/>
    <w:rsid w:val="007A385D"/>
    <w:rsid w:val="007A3E79"/>
    <w:rsid w:val="007A7362"/>
    <w:rsid w:val="007B5A17"/>
    <w:rsid w:val="007B7729"/>
    <w:rsid w:val="007C66DE"/>
    <w:rsid w:val="007D0768"/>
    <w:rsid w:val="007D224F"/>
    <w:rsid w:val="007D6B8F"/>
    <w:rsid w:val="007E0C8A"/>
    <w:rsid w:val="007E156F"/>
    <w:rsid w:val="007E2ACE"/>
    <w:rsid w:val="007E3816"/>
    <w:rsid w:val="007F262A"/>
    <w:rsid w:val="007F5700"/>
    <w:rsid w:val="00802548"/>
    <w:rsid w:val="00802957"/>
    <w:rsid w:val="00814AA6"/>
    <w:rsid w:val="00823ADD"/>
    <w:rsid w:val="008267EE"/>
    <w:rsid w:val="0083050D"/>
    <w:rsid w:val="00832E9B"/>
    <w:rsid w:val="00840178"/>
    <w:rsid w:val="0084297C"/>
    <w:rsid w:val="008432ED"/>
    <w:rsid w:val="00843F7D"/>
    <w:rsid w:val="008450F3"/>
    <w:rsid w:val="0086227D"/>
    <w:rsid w:val="00863FEE"/>
    <w:rsid w:val="008653E0"/>
    <w:rsid w:val="00865CF9"/>
    <w:rsid w:val="00867B69"/>
    <w:rsid w:val="0088500C"/>
    <w:rsid w:val="0089014A"/>
    <w:rsid w:val="008902CF"/>
    <w:rsid w:val="008966E9"/>
    <w:rsid w:val="008B4A3B"/>
    <w:rsid w:val="008B56E5"/>
    <w:rsid w:val="008C1F77"/>
    <w:rsid w:val="008C53F5"/>
    <w:rsid w:val="008D3CFE"/>
    <w:rsid w:val="008D5E6C"/>
    <w:rsid w:val="008D7F16"/>
    <w:rsid w:val="008E1E1E"/>
    <w:rsid w:val="008E4534"/>
    <w:rsid w:val="008E54DB"/>
    <w:rsid w:val="008F1045"/>
    <w:rsid w:val="008F171A"/>
    <w:rsid w:val="009018E4"/>
    <w:rsid w:val="00903BED"/>
    <w:rsid w:val="00905613"/>
    <w:rsid w:val="00905BF1"/>
    <w:rsid w:val="00913572"/>
    <w:rsid w:val="009171E7"/>
    <w:rsid w:val="00917A3B"/>
    <w:rsid w:val="0092087F"/>
    <w:rsid w:val="0092377F"/>
    <w:rsid w:val="00930DF7"/>
    <w:rsid w:val="00936821"/>
    <w:rsid w:val="0094276A"/>
    <w:rsid w:val="00942C75"/>
    <w:rsid w:val="009466E4"/>
    <w:rsid w:val="00951195"/>
    <w:rsid w:val="00952045"/>
    <w:rsid w:val="00952BA5"/>
    <w:rsid w:val="009554FB"/>
    <w:rsid w:val="00957EEC"/>
    <w:rsid w:val="00963696"/>
    <w:rsid w:val="009642E6"/>
    <w:rsid w:val="009645E2"/>
    <w:rsid w:val="00965CCC"/>
    <w:rsid w:val="00972BCD"/>
    <w:rsid w:val="0097304E"/>
    <w:rsid w:val="0097647D"/>
    <w:rsid w:val="00983752"/>
    <w:rsid w:val="00983EF6"/>
    <w:rsid w:val="00990647"/>
    <w:rsid w:val="009959F3"/>
    <w:rsid w:val="00996091"/>
    <w:rsid w:val="009A11C1"/>
    <w:rsid w:val="009A16FA"/>
    <w:rsid w:val="009A1CFD"/>
    <w:rsid w:val="009A27F7"/>
    <w:rsid w:val="009A292D"/>
    <w:rsid w:val="009A4CAF"/>
    <w:rsid w:val="009A69B5"/>
    <w:rsid w:val="009A6B36"/>
    <w:rsid w:val="009B0D73"/>
    <w:rsid w:val="009B1848"/>
    <w:rsid w:val="009B3167"/>
    <w:rsid w:val="009B682A"/>
    <w:rsid w:val="009C020C"/>
    <w:rsid w:val="009C17A4"/>
    <w:rsid w:val="009C35A3"/>
    <w:rsid w:val="009C5D67"/>
    <w:rsid w:val="009C7A2D"/>
    <w:rsid w:val="009C7CE4"/>
    <w:rsid w:val="009E4A3B"/>
    <w:rsid w:val="009F0653"/>
    <w:rsid w:val="009F7788"/>
    <w:rsid w:val="009F7FCB"/>
    <w:rsid w:val="00A00B17"/>
    <w:rsid w:val="00A03165"/>
    <w:rsid w:val="00A1042E"/>
    <w:rsid w:val="00A15965"/>
    <w:rsid w:val="00A1794D"/>
    <w:rsid w:val="00A207E1"/>
    <w:rsid w:val="00A220C6"/>
    <w:rsid w:val="00A2358C"/>
    <w:rsid w:val="00A2663A"/>
    <w:rsid w:val="00A309B6"/>
    <w:rsid w:val="00A31C85"/>
    <w:rsid w:val="00A32C2E"/>
    <w:rsid w:val="00A33A9E"/>
    <w:rsid w:val="00A41AEC"/>
    <w:rsid w:val="00A5437F"/>
    <w:rsid w:val="00A623DF"/>
    <w:rsid w:val="00A67A48"/>
    <w:rsid w:val="00A67B5E"/>
    <w:rsid w:val="00A72E16"/>
    <w:rsid w:val="00A76003"/>
    <w:rsid w:val="00A76D78"/>
    <w:rsid w:val="00A82ED7"/>
    <w:rsid w:val="00A83140"/>
    <w:rsid w:val="00A843DA"/>
    <w:rsid w:val="00A84830"/>
    <w:rsid w:val="00A90B22"/>
    <w:rsid w:val="00AA2334"/>
    <w:rsid w:val="00AA4DC4"/>
    <w:rsid w:val="00AB05C6"/>
    <w:rsid w:val="00AB66D7"/>
    <w:rsid w:val="00AC266D"/>
    <w:rsid w:val="00AC32C6"/>
    <w:rsid w:val="00AD7BA1"/>
    <w:rsid w:val="00AF5247"/>
    <w:rsid w:val="00AF78C6"/>
    <w:rsid w:val="00AF7CB4"/>
    <w:rsid w:val="00B00961"/>
    <w:rsid w:val="00B12237"/>
    <w:rsid w:val="00B12438"/>
    <w:rsid w:val="00B12F3C"/>
    <w:rsid w:val="00B24FF7"/>
    <w:rsid w:val="00B2543C"/>
    <w:rsid w:val="00B26192"/>
    <w:rsid w:val="00B27AAC"/>
    <w:rsid w:val="00B40A66"/>
    <w:rsid w:val="00B50CF4"/>
    <w:rsid w:val="00B57B39"/>
    <w:rsid w:val="00B6632A"/>
    <w:rsid w:val="00B67C18"/>
    <w:rsid w:val="00B74F9C"/>
    <w:rsid w:val="00B76725"/>
    <w:rsid w:val="00B801E0"/>
    <w:rsid w:val="00B83422"/>
    <w:rsid w:val="00B841C1"/>
    <w:rsid w:val="00B8765A"/>
    <w:rsid w:val="00B955B3"/>
    <w:rsid w:val="00BA15F6"/>
    <w:rsid w:val="00BB11A8"/>
    <w:rsid w:val="00BB2026"/>
    <w:rsid w:val="00BC3B43"/>
    <w:rsid w:val="00BC5535"/>
    <w:rsid w:val="00BC7E20"/>
    <w:rsid w:val="00BD670A"/>
    <w:rsid w:val="00BE02A7"/>
    <w:rsid w:val="00BE2788"/>
    <w:rsid w:val="00BE6F4C"/>
    <w:rsid w:val="00BE7E70"/>
    <w:rsid w:val="00BF460C"/>
    <w:rsid w:val="00BF5F9C"/>
    <w:rsid w:val="00C02F99"/>
    <w:rsid w:val="00C05D8E"/>
    <w:rsid w:val="00C06B20"/>
    <w:rsid w:val="00C06CBE"/>
    <w:rsid w:val="00C11863"/>
    <w:rsid w:val="00C123C3"/>
    <w:rsid w:val="00C126DF"/>
    <w:rsid w:val="00C15DBB"/>
    <w:rsid w:val="00C22071"/>
    <w:rsid w:val="00C25B78"/>
    <w:rsid w:val="00C2641C"/>
    <w:rsid w:val="00C444EA"/>
    <w:rsid w:val="00C453CE"/>
    <w:rsid w:val="00C50DF8"/>
    <w:rsid w:val="00C5114A"/>
    <w:rsid w:val="00C55BB5"/>
    <w:rsid w:val="00C56242"/>
    <w:rsid w:val="00C64953"/>
    <w:rsid w:val="00C65992"/>
    <w:rsid w:val="00C745E3"/>
    <w:rsid w:val="00C75C2E"/>
    <w:rsid w:val="00C766EF"/>
    <w:rsid w:val="00C773FC"/>
    <w:rsid w:val="00C807AA"/>
    <w:rsid w:val="00C80EE6"/>
    <w:rsid w:val="00C817A7"/>
    <w:rsid w:val="00C84AD6"/>
    <w:rsid w:val="00C861B2"/>
    <w:rsid w:val="00CA1D86"/>
    <w:rsid w:val="00CA222B"/>
    <w:rsid w:val="00CA2A8B"/>
    <w:rsid w:val="00CA65E9"/>
    <w:rsid w:val="00CB4339"/>
    <w:rsid w:val="00CB6A55"/>
    <w:rsid w:val="00CC06D4"/>
    <w:rsid w:val="00CC1890"/>
    <w:rsid w:val="00CC480B"/>
    <w:rsid w:val="00CC6F76"/>
    <w:rsid w:val="00CC72C5"/>
    <w:rsid w:val="00CC7310"/>
    <w:rsid w:val="00CD332E"/>
    <w:rsid w:val="00CD41C2"/>
    <w:rsid w:val="00CD5A34"/>
    <w:rsid w:val="00CE06FC"/>
    <w:rsid w:val="00CE4335"/>
    <w:rsid w:val="00D02906"/>
    <w:rsid w:val="00D03331"/>
    <w:rsid w:val="00D071AB"/>
    <w:rsid w:val="00D073EA"/>
    <w:rsid w:val="00D12776"/>
    <w:rsid w:val="00D2092D"/>
    <w:rsid w:val="00D31AFE"/>
    <w:rsid w:val="00D332D6"/>
    <w:rsid w:val="00D346FC"/>
    <w:rsid w:val="00D35444"/>
    <w:rsid w:val="00D3691D"/>
    <w:rsid w:val="00D371C4"/>
    <w:rsid w:val="00D44541"/>
    <w:rsid w:val="00D50E81"/>
    <w:rsid w:val="00D634D8"/>
    <w:rsid w:val="00D63C2D"/>
    <w:rsid w:val="00D651FF"/>
    <w:rsid w:val="00D71DEB"/>
    <w:rsid w:val="00D73882"/>
    <w:rsid w:val="00D80609"/>
    <w:rsid w:val="00D82BB6"/>
    <w:rsid w:val="00DA08E9"/>
    <w:rsid w:val="00DA100A"/>
    <w:rsid w:val="00DA25AD"/>
    <w:rsid w:val="00DA73E5"/>
    <w:rsid w:val="00DB0090"/>
    <w:rsid w:val="00DB1679"/>
    <w:rsid w:val="00DB462A"/>
    <w:rsid w:val="00DC2F1C"/>
    <w:rsid w:val="00DC2F84"/>
    <w:rsid w:val="00DC4BA2"/>
    <w:rsid w:val="00DC57F3"/>
    <w:rsid w:val="00DD4C8D"/>
    <w:rsid w:val="00DD7FB4"/>
    <w:rsid w:val="00DE3A6C"/>
    <w:rsid w:val="00DE78E8"/>
    <w:rsid w:val="00DE7BD3"/>
    <w:rsid w:val="00DF1C7E"/>
    <w:rsid w:val="00DF4AB0"/>
    <w:rsid w:val="00DF66EE"/>
    <w:rsid w:val="00E00371"/>
    <w:rsid w:val="00E07A31"/>
    <w:rsid w:val="00E17346"/>
    <w:rsid w:val="00E23047"/>
    <w:rsid w:val="00E23270"/>
    <w:rsid w:val="00E309FD"/>
    <w:rsid w:val="00E403D4"/>
    <w:rsid w:val="00E50150"/>
    <w:rsid w:val="00E5049F"/>
    <w:rsid w:val="00E61308"/>
    <w:rsid w:val="00E61E70"/>
    <w:rsid w:val="00E67E38"/>
    <w:rsid w:val="00E76995"/>
    <w:rsid w:val="00E80E43"/>
    <w:rsid w:val="00E8311C"/>
    <w:rsid w:val="00E87A04"/>
    <w:rsid w:val="00E922B4"/>
    <w:rsid w:val="00E97970"/>
    <w:rsid w:val="00EA30DA"/>
    <w:rsid w:val="00EA4003"/>
    <w:rsid w:val="00EB0151"/>
    <w:rsid w:val="00EB7ED2"/>
    <w:rsid w:val="00EC43C8"/>
    <w:rsid w:val="00ED3F02"/>
    <w:rsid w:val="00ED457C"/>
    <w:rsid w:val="00EE0B92"/>
    <w:rsid w:val="00EE0F0E"/>
    <w:rsid w:val="00EE68D2"/>
    <w:rsid w:val="00EF14B7"/>
    <w:rsid w:val="00EF44AD"/>
    <w:rsid w:val="00F011DD"/>
    <w:rsid w:val="00F014F8"/>
    <w:rsid w:val="00F057A1"/>
    <w:rsid w:val="00F13937"/>
    <w:rsid w:val="00F162EF"/>
    <w:rsid w:val="00F17267"/>
    <w:rsid w:val="00F27587"/>
    <w:rsid w:val="00F307F9"/>
    <w:rsid w:val="00F3131F"/>
    <w:rsid w:val="00F32538"/>
    <w:rsid w:val="00F34A00"/>
    <w:rsid w:val="00F34D93"/>
    <w:rsid w:val="00F62AEB"/>
    <w:rsid w:val="00F66A6D"/>
    <w:rsid w:val="00F72010"/>
    <w:rsid w:val="00F76428"/>
    <w:rsid w:val="00F77798"/>
    <w:rsid w:val="00F77B4D"/>
    <w:rsid w:val="00F820F7"/>
    <w:rsid w:val="00F832EB"/>
    <w:rsid w:val="00F83A44"/>
    <w:rsid w:val="00F85C22"/>
    <w:rsid w:val="00F86B12"/>
    <w:rsid w:val="00F87AC6"/>
    <w:rsid w:val="00F979AC"/>
    <w:rsid w:val="00FA1DC1"/>
    <w:rsid w:val="00FA6353"/>
    <w:rsid w:val="00FB32DE"/>
    <w:rsid w:val="00FB7A50"/>
    <w:rsid w:val="00FC0DF5"/>
    <w:rsid w:val="00FC3697"/>
    <w:rsid w:val="00FC44B5"/>
    <w:rsid w:val="00FC6127"/>
    <w:rsid w:val="00FC7A4D"/>
    <w:rsid w:val="00FD08A0"/>
    <w:rsid w:val="00FD2E42"/>
    <w:rsid w:val="00FD4AA6"/>
    <w:rsid w:val="00FD55B2"/>
    <w:rsid w:val="00FE2B9E"/>
    <w:rsid w:val="00FE6555"/>
    <w:rsid w:val="00FF13BC"/>
    <w:rsid w:val="00FF51E1"/>
    <w:rsid w:val="208A324C"/>
    <w:rsid w:val="34C66889"/>
    <w:rsid w:val="4D56566E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nhideWhenUsed="0" w:uiPriority="0" w:semiHidden="0" w:name="table of authorities"/>
    <w:lsdException w:uiPriority="0" w:name="macro"/>
    <w:lsdException w:uiPriority="0" w:name="toa heading"/>
    <w:lsdException w:unhideWhenUsed="0" w:uiPriority="0" w:semiHidden="0" w:name="List"/>
    <w:lsdException w:unhideWhenUsed="0" w:uiPriority="0" w:semiHidden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qFormat="1" w:unhideWhenUsed="0" w:uiPriority="0" w:semiHidden="0" w:name="Body Text Indent"/>
    <w:lsdException w:uiPriority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iPriority="0" w:name="Message Header"/>
    <w:lsdException w:qFormat="1" w:unhideWhenUsed="0" w:uiPriority="0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qFormat="1" w:unhideWhenUsed="0" w:uiPriority="0" w:semiHidden="0" w:name="Body Text Indent 2"/>
    <w:lsdException w:uiPriority="0" w:name="Body Text Indent 3"/>
    <w:lsdException w:uiPriority="0" w:name="Block Text"/>
    <w:lsdException w:qFormat="1" w:unhideWhenUsed="0" w:uiPriority="0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qFormat="1" w:uiPriority="99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qFormat/>
    <w:uiPriority w:val="0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 Inden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4">
    <w:name w:val="Body Text Indent 2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5">
    <w:name w:val="Balloon Text"/>
    <w:basedOn w:val="1"/>
    <w:semiHidden/>
    <w:qFormat/>
    <w:uiPriority w:val="0"/>
    <w:rPr>
      <w:sz w:val="18"/>
      <w:szCs w:val="18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Strong"/>
    <w:qFormat/>
    <w:uiPriority w:val="0"/>
    <w:rPr>
      <w:b/>
      <w:bCs/>
    </w:rPr>
  </w:style>
  <w:style w:type="character" w:styleId="13">
    <w:name w:val="Hyperlink"/>
    <w:qFormat/>
    <w:uiPriority w:val="0"/>
    <w:rPr>
      <w:color w:val="0068B7"/>
      <w:u w:val="none"/>
    </w:rPr>
  </w:style>
  <w:style w:type="character" w:customStyle="1" w:styleId="14">
    <w:name w:val="141"/>
    <w:qFormat/>
    <w:uiPriority w:val="0"/>
    <w:rPr>
      <w:sz w:val="21"/>
      <w:szCs w:val="21"/>
    </w:rPr>
  </w:style>
  <w:style w:type="character" w:customStyle="1" w:styleId="15">
    <w:name w:val="ztag pre"/>
    <w:basedOn w:val="11"/>
    <w:qFormat/>
    <w:uiPriority w:val="0"/>
  </w:style>
  <w:style w:type="character" w:customStyle="1" w:styleId="16">
    <w:name w:val="已访问的超链接1"/>
    <w:qFormat/>
    <w:uiPriority w:val="0"/>
    <w:rPr>
      <w:color w:val="800080"/>
      <w:u w:val="single"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6</Pages>
  <Words>499</Words>
  <Characters>2847</Characters>
  <Lines>23</Lines>
  <Paragraphs>6</Paragraphs>
  <TotalTime>0</TotalTime>
  <ScaleCrop>false</ScaleCrop>
  <LinksUpToDate>false</LinksUpToDate>
  <CharactersWithSpaces>3340</CharactersWithSpaces>
  <Application>WPS Office_11.1.0.9305_F1E327BC-269C-435d-A152-05C5408002CA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2019-12-02T07:39:00Z</dcterms:created>
  <dc:creator>全美国际教育协会</dc:creator>
  <cp:lastModifiedBy>Julia</cp:lastModifiedBy>
  <cp:lastPrinted>2011-12-16T08:54:00Z</cp:lastPrinted>
  <dcterms:modified xsi:type="dcterms:W3CDTF">2019-12-27T02:51:34Z</dcterms:modified>
  <dc:title>加州大学河滨分校短期访学项目</dc:title>
  <cp:revision>22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