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righ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inline distT="0" distB="0" distL="0" distR="0">
            <wp:extent cx="857250" cy="299720"/>
            <wp:effectExtent l="0" t="0" r="0" b="508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pPr>
        <w:widowControl/>
        <w:spacing w:line="360" w:lineRule="auto"/>
        <w:jc w:val="center"/>
        <w:rPr>
          <w:rFonts w:asciiTheme="minorHAnsi" w:hAnsiTheme="minorHAnsi" w:eastAsiaTheme="majorEastAsia" w:cstheme="minorHAnsi"/>
          <w:b/>
          <w:kern w:val="0"/>
          <w:sz w:val="32"/>
          <w:szCs w:val="21"/>
        </w:rPr>
      </w:pP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美国加州</w:t>
      </w:r>
      <w:r>
        <w:rPr>
          <w:rFonts w:asciiTheme="minorHAnsi" w:hAnsiTheme="minorHAnsi" w:eastAsiaTheme="majorEastAsia" w:cstheme="minorHAnsi"/>
          <w:b/>
          <w:kern w:val="0"/>
          <w:sz w:val="32"/>
          <w:szCs w:val="21"/>
        </w:rPr>
        <w:t>大学</w:t>
      </w:r>
      <w:r>
        <w:rPr>
          <w:rFonts w:hint="eastAsia" w:asciiTheme="minorHAnsi" w:hAnsiTheme="minorHAnsi" w:eastAsiaTheme="majorEastAsia" w:cstheme="minorHAnsi"/>
          <w:b/>
          <w:kern w:val="0"/>
          <w:sz w:val="32"/>
          <w:szCs w:val="21"/>
        </w:rPr>
        <w:t>伯克利分校</w:t>
      </w: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2020暑期专业学分课程</w:t>
      </w:r>
    </w:p>
    <w:p>
      <w:pPr>
        <w:widowControl/>
        <w:spacing w:line="360" w:lineRule="auto"/>
        <w:jc w:val="center"/>
        <w:rPr>
          <w:rFonts w:asciiTheme="minorHAnsi" w:hAnsiTheme="minorHAnsi" w:eastAsiaTheme="majorEastAsia" w:cstheme="minorHAnsi"/>
          <w:kern w:val="0"/>
          <w:szCs w:val="21"/>
        </w:rPr>
      </w:pPr>
      <w:r>
        <w:rPr>
          <w:rFonts w:hint="eastAsia" w:asciiTheme="minorHAnsi" w:hAnsiTheme="minorHAnsi" w:eastAsiaTheme="majorEastAsia" w:cstheme="minorHAnsi"/>
          <w:b/>
          <w:kern w:val="0"/>
          <w:sz w:val="32"/>
          <w:szCs w:val="21"/>
        </w:rPr>
        <w:t>U</w:t>
      </w:r>
      <w:r>
        <w:rPr>
          <w:rFonts w:asciiTheme="minorHAnsi" w:hAnsiTheme="minorHAnsi" w:eastAsiaTheme="majorEastAsia" w:cstheme="minorHAnsi"/>
          <w:b/>
          <w:kern w:val="0"/>
          <w:sz w:val="32"/>
          <w:szCs w:val="21"/>
        </w:rPr>
        <w:t>niversity of California Berkeley</w:t>
      </w:r>
    </w:p>
    <w:p>
      <w:pPr>
        <w:widowControl/>
        <w:spacing w:line="360" w:lineRule="auto"/>
        <w:jc w:val="center"/>
        <w:rPr>
          <w:rFonts w:asciiTheme="minorHAnsi" w:hAnsiTheme="minorHAnsi" w:cstheme="minorHAnsi"/>
          <w:b/>
        </w:rPr>
      </w:pPr>
      <w:r>
        <w:rPr>
          <w:rFonts w:asciiTheme="minorHAnsi" w:hAnsiTheme="minorHAnsi" w:cstheme="minorHAnsi"/>
          <w:b/>
        </w:rPr>
        <w:t>2020</w:t>
      </w:r>
      <w:r>
        <w:rPr>
          <w:rFonts w:hint="eastAsia" w:asciiTheme="minorHAnsi" w:hAnsiTheme="minorHAnsi" w:cstheme="minorHAnsi"/>
          <w:b/>
        </w:rPr>
        <w:t>年7月</w:t>
      </w:r>
      <w:r>
        <w:rPr>
          <w:rFonts w:asciiTheme="minorHAnsi" w:hAnsiTheme="minorHAnsi" w:cstheme="minorHAnsi"/>
          <w:b/>
        </w:rPr>
        <w:t>6</w:t>
      </w:r>
      <w:r>
        <w:rPr>
          <w:rFonts w:hint="eastAsia" w:asciiTheme="minorHAnsi" w:hAnsiTheme="minorHAnsi" w:cstheme="minorHAnsi"/>
          <w:b/>
        </w:rPr>
        <w:t>日</w:t>
      </w:r>
      <w:r>
        <w:rPr>
          <w:rFonts w:asciiTheme="minorHAnsi" w:hAnsiTheme="minorHAnsi" w:cstheme="minorHAnsi"/>
          <w:b/>
        </w:rPr>
        <w:t xml:space="preserve">- </w:t>
      </w:r>
      <w:r>
        <w:rPr>
          <w:rFonts w:hint="eastAsia" w:asciiTheme="minorHAnsi" w:hAnsiTheme="minorHAnsi" w:cstheme="minorHAnsi"/>
          <w:b/>
        </w:rPr>
        <w:t>8月</w:t>
      </w:r>
      <w:r>
        <w:rPr>
          <w:rFonts w:asciiTheme="minorHAnsi" w:hAnsiTheme="minorHAnsi" w:cstheme="minorHAnsi"/>
          <w:b/>
        </w:rPr>
        <w:t>1</w:t>
      </w:r>
      <w:r>
        <w:rPr>
          <w:rFonts w:hint="eastAsia" w:asciiTheme="minorHAnsi" w:hAnsiTheme="minorHAnsi" w:cstheme="minorHAnsi"/>
          <w:b/>
        </w:rPr>
        <w:t>4日（6周）</w:t>
      </w:r>
    </w:p>
    <w:p>
      <w:pPr>
        <w:widowControl/>
        <w:spacing w:line="360" w:lineRule="auto"/>
        <w:jc w:val="center"/>
        <w:rPr>
          <w:rFonts w:asciiTheme="minorHAnsi" w:hAnsiTheme="minorHAnsi" w:cstheme="minorHAnsi"/>
          <w:b/>
        </w:rPr>
      </w:pPr>
      <w:r>
        <w:rPr>
          <w:rFonts w:hint="eastAsia" w:asciiTheme="minorHAnsi" w:hAnsiTheme="minorHAnsi" w:cstheme="minorHAnsi"/>
          <w:b/>
        </w:rPr>
        <w:t>2020年7月6日-7月24日，或7月27日-8月14日（3周）</w:t>
      </w:r>
    </w:p>
    <w:p>
      <w:pPr>
        <w:widowControl/>
        <w:spacing w:line="360" w:lineRule="auto"/>
        <w:jc w:val="center"/>
        <w:rPr>
          <w:rFonts w:asciiTheme="minorHAnsi" w:hAnsiTheme="minorHAnsi" w:eastAsiaTheme="majorEastAsia" w:cstheme="minorHAnsi"/>
          <w:kern w:val="0"/>
          <w:szCs w:val="21"/>
        </w:rPr>
      </w:pPr>
    </w:p>
    <w:p>
      <w:pPr>
        <w:widowControl/>
        <w:spacing w:line="360" w:lineRule="auto"/>
        <w:jc w:val="center"/>
        <w:rPr>
          <w:rFonts w:asciiTheme="minorHAnsi" w:hAnsiTheme="minorHAnsi" w:eastAsiaTheme="majorEastAsia" w:cstheme="minorHAnsi"/>
          <w:kern w:val="0"/>
          <w:szCs w:val="21"/>
        </w:rPr>
      </w:pPr>
    </w:p>
    <w:p>
      <w:pPr>
        <w:pStyle w:val="17"/>
        <w:widowControl/>
        <w:numPr>
          <w:ilvl w:val="0"/>
          <w:numId w:val="1"/>
        </w:numPr>
        <w:spacing w:line="360" w:lineRule="auto"/>
        <w:ind w:firstLineChars="0"/>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 xml:space="preserve"> 项目综述</w:t>
      </w:r>
    </w:p>
    <w:p>
      <w:pPr>
        <w:widowControl/>
        <w:spacing w:line="360" w:lineRule="auto"/>
        <w:ind w:firstLine="420" w:firstLineChars="200"/>
        <w:jc w:val="left"/>
        <w:rPr>
          <w:rFonts w:asciiTheme="minorHAnsi" w:hAnsiTheme="minorHAnsi"/>
        </w:rPr>
      </w:pPr>
      <w:r>
        <w:rPr>
          <w:rFonts w:cs="Calibri" w:asciiTheme="minorHAnsi" w:hAnsiTheme="minorHAnsi"/>
          <w:szCs w:val="21"/>
        </w:rPr>
        <w:t>加州大学伯克利</w:t>
      </w:r>
      <w:r>
        <w:rPr>
          <w:rFonts w:hint="eastAsia" w:cs="Calibri" w:asciiTheme="minorHAnsi" w:hAnsiTheme="minorHAnsi"/>
          <w:szCs w:val="21"/>
        </w:rPr>
        <w:t>分校</w:t>
      </w:r>
      <w:r>
        <w:rPr>
          <w:rFonts w:asciiTheme="minorHAnsi" w:hAnsiTheme="minorHAnsi"/>
        </w:rPr>
        <w:t>的</w:t>
      </w:r>
      <w:r>
        <w:rPr>
          <w:rFonts w:hint="eastAsia" w:asciiTheme="minorHAnsi" w:hAnsiTheme="minorHAnsi"/>
        </w:rPr>
        <w:t>暑期专业学分课程由“暑期项目、访学与终身学习”部门（Summer Sessions, Study Abroad and Lifelong Learning Division）开设，每年暑期约有来自</w:t>
      </w:r>
      <w:r>
        <w:rPr>
          <w:rFonts w:cs="Calibri" w:asciiTheme="minorHAnsi" w:hAnsiTheme="minorHAnsi"/>
          <w:szCs w:val="21"/>
        </w:rPr>
        <w:t>伯克利</w:t>
      </w:r>
      <w:r>
        <w:rPr>
          <w:rFonts w:hint="eastAsia" w:asciiTheme="minorHAnsi" w:hAnsiTheme="minorHAnsi"/>
        </w:rPr>
        <w:t>本校与世界各地的超过16000多名学生就读。</w:t>
      </w:r>
    </w:p>
    <w:p>
      <w:pPr>
        <w:widowControl/>
        <w:spacing w:line="360" w:lineRule="auto"/>
        <w:ind w:left="430"/>
        <w:jc w:val="left"/>
        <w:rPr>
          <w:rFonts w:asciiTheme="minorHAnsi" w:hAnsiTheme="minorHAnsi"/>
        </w:rPr>
      </w:pPr>
    </w:p>
    <w:p>
      <w:pPr>
        <w:pStyle w:val="17"/>
        <w:widowControl/>
        <w:spacing w:line="360" w:lineRule="auto"/>
        <w:ind w:left="420" w:firstLine="0" w:firstLineChars="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全美国际教育协会作为加州大学伯克利分校在中国的正式授权机构，负责选拔优秀中</w:t>
      </w:r>
    </w:p>
    <w:p>
      <w:pPr>
        <w:widowControl/>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国大学生，于20</w:t>
      </w:r>
      <w:r>
        <w:rPr>
          <w:rFonts w:asciiTheme="minorHAnsi" w:hAnsiTheme="minorHAnsi" w:eastAsiaTheme="majorEastAsia" w:cstheme="minorHAnsi"/>
          <w:kern w:val="0"/>
          <w:szCs w:val="21"/>
        </w:rPr>
        <w:t>20</w:t>
      </w:r>
      <w:r>
        <w:rPr>
          <w:rFonts w:hint="eastAsia" w:asciiTheme="minorHAnsi" w:hAnsiTheme="minorHAnsi" w:eastAsiaTheme="majorEastAsia" w:cstheme="minorHAnsi"/>
          <w:kern w:val="0"/>
          <w:szCs w:val="21"/>
        </w:rPr>
        <w:t>年暑期前往加州大学伯克利分校参加为期3-6周的专业学分课程。项目学生将与全世界其它国家的国际学生混班上课，迅速提升自身的英语水平与专业学术技能，同时体验美国的社会与文化。</w:t>
      </w:r>
    </w:p>
    <w:p>
      <w:pPr>
        <w:widowControl/>
        <w:spacing w:line="360" w:lineRule="auto"/>
        <w:jc w:val="left"/>
        <w:rPr>
          <w:rFonts w:asciiTheme="minorHAnsi" w:hAnsiTheme="minorHAnsi" w:eastAsiaTheme="majorEastAsia" w:cstheme="minorHAnsi"/>
          <w:kern w:val="0"/>
          <w:szCs w:val="21"/>
        </w:rPr>
      </w:pPr>
      <w:r>
        <w:rPr>
          <w:rFonts w:asciiTheme="minorHAnsi" w:hAnsiTheme="minorHAnsi" w:eastAsiaTheme="majorEastAsia" w:cstheme="minorHAnsi"/>
          <w:color w:val="000000"/>
          <w:szCs w:val="21"/>
        </w:rPr>
        <w:drawing>
          <wp:anchor distT="0" distB="0" distL="114300" distR="114300" simplePos="0" relativeHeight="251665408" behindDoc="0" locked="0" layoutInCell="1" allowOverlap="1">
            <wp:simplePos x="0" y="0"/>
            <wp:positionH relativeFrom="column">
              <wp:posOffset>19050</wp:posOffset>
            </wp:positionH>
            <wp:positionV relativeFrom="paragraph">
              <wp:posOffset>299085</wp:posOffset>
            </wp:positionV>
            <wp:extent cx="5274310" cy="2114550"/>
            <wp:effectExtent l="0" t="0" r="2540" b="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274310" cy="2114550"/>
                    </a:xfrm>
                    <a:prstGeom prst="rect">
                      <a:avLst/>
                    </a:prstGeom>
                  </pic:spPr>
                </pic:pic>
              </a:graphicData>
            </a:graphic>
          </wp:anchor>
        </w:drawing>
      </w:r>
    </w:p>
    <w:p>
      <w:pPr>
        <w:widowControl/>
        <w:spacing w:line="360" w:lineRule="auto"/>
        <w:jc w:val="left"/>
        <w:rPr>
          <w:rFonts w:asciiTheme="minorHAnsi" w:hAnsiTheme="minorHAnsi" w:eastAsiaTheme="majorEastAsia" w:cstheme="minorHAnsi"/>
          <w:kern w:val="0"/>
          <w:szCs w:val="21"/>
        </w:rPr>
      </w:pPr>
    </w:p>
    <w:p>
      <w:pPr>
        <w:widowControl/>
        <w:spacing w:line="360" w:lineRule="auto"/>
        <w:jc w:val="left"/>
        <w:rPr>
          <w:rFonts w:asciiTheme="minorHAnsi" w:hAnsiTheme="minorHAnsi" w:eastAsiaTheme="majorEastAsia" w:cstheme="minorHAnsi"/>
          <w:kern w:val="0"/>
          <w:szCs w:val="21"/>
        </w:rPr>
      </w:pPr>
    </w:p>
    <w:p>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kern w:val="0"/>
          <w:szCs w:val="21"/>
        </w:rPr>
        <w:t xml:space="preserve">二、 </w:t>
      </w:r>
      <w:r>
        <w:rPr>
          <w:rFonts w:hint="eastAsia" w:asciiTheme="minorHAnsi" w:hAnsiTheme="minorHAnsi" w:eastAsiaTheme="majorEastAsia" w:cstheme="minorHAnsi"/>
          <w:b/>
          <w:kern w:val="0"/>
          <w:szCs w:val="21"/>
        </w:rPr>
        <w:t>特色与优势</w:t>
      </w:r>
    </w:p>
    <w:p>
      <w:pPr>
        <w:pStyle w:val="17"/>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【自带流量的顶级名校】全美公立大学排名第2，是加州大学系统创始校区；在2</w:t>
      </w:r>
      <w:r>
        <w:rPr>
          <w:rFonts w:cs="Calibri" w:asciiTheme="minorHAnsi" w:hAnsiTheme="minorHAnsi"/>
          <w:szCs w:val="21"/>
        </w:rPr>
        <w:t>0</w:t>
      </w:r>
      <w:r>
        <w:rPr>
          <w:rFonts w:hint="eastAsia" w:cs="Calibri" w:asciiTheme="minorHAnsi" w:hAnsiTheme="minorHAnsi"/>
          <w:szCs w:val="21"/>
        </w:rPr>
        <w:t>20年US</w:t>
      </w:r>
      <w:r>
        <w:rPr>
          <w:rFonts w:cs="Calibri" w:asciiTheme="minorHAnsi" w:hAnsiTheme="minorHAnsi"/>
          <w:szCs w:val="21"/>
        </w:rPr>
        <w:t xml:space="preserve"> </w:t>
      </w:r>
      <w:r>
        <w:rPr>
          <w:rFonts w:hint="eastAsia" w:cs="Calibri" w:asciiTheme="minorHAnsi" w:hAnsiTheme="minorHAnsi"/>
          <w:szCs w:val="21"/>
        </w:rPr>
        <w:t>News世界大学排名中位列全球第4位；</w:t>
      </w:r>
    </w:p>
    <w:p>
      <w:pPr>
        <w:pStyle w:val="17"/>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w:t>
      </w:r>
      <w:r>
        <w:rPr>
          <w:rFonts w:hint="eastAsia" w:asciiTheme="minorHAnsi" w:hAnsiTheme="minorHAnsi" w:eastAsiaTheme="majorEastAsia" w:cstheme="minorHAnsi"/>
          <w:szCs w:val="21"/>
        </w:rPr>
        <w:t>伯克利学分与</w:t>
      </w:r>
      <w:r>
        <w:rPr>
          <w:rFonts w:hint="eastAsia" w:cs="Calibri" w:asciiTheme="minorHAnsi" w:hAnsiTheme="minorHAnsi"/>
          <w:szCs w:val="21"/>
        </w:rPr>
        <w:t>成绩单】参加暑期课程，可获得</w:t>
      </w:r>
      <w:r>
        <w:rPr>
          <w:rFonts w:hint="eastAsia" w:asciiTheme="minorHAnsi" w:hAnsiTheme="minorHAnsi" w:eastAsiaTheme="majorEastAsia" w:cstheme="minorHAnsi"/>
          <w:szCs w:val="21"/>
        </w:rPr>
        <w:t>加州</w:t>
      </w:r>
      <w:r>
        <w:rPr>
          <w:rFonts w:hint="eastAsia" w:cs="Calibri" w:asciiTheme="minorHAnsi" w:hAnsiTheme="minorHAnsi" w:eastAsiaTheme="majorEastAsia"/>
          <w:szCs w:val="21"/>
        </w:rPr>
        <w:t>大学伯克利分校的正式学分</w:t>
      </w:r>
      <w:r>
        <w:rPr>
          <w:rFonts w:hint="eastAsia" w:cs="Calibri" w:asciiTheme="minorHAnsi" w:hAnsiTheme="minorHAnsi"/>
          <w:szCs w:val="21"/>
        </w:rPr>
        <w:t>与成绩单；</w:t>
      </w:r>
    </w:p>
    <w:p>
      <w:pPr>
        <w:pStyle w:val="17"/>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【在读学生混班上课】与其它在读学生一起学习专业学术课程，最大限度体验伯克利的顶级教学资源；</w:t>
      </w:r>
    </w:p>
    <w:p>
      <w:pPr>
        <w:pStyle w:val="17"/>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【尽享校园设施与资源】 获得加州大学伯克利分校学生证，</w:t>
      </w:r>
      <w:r>
        <w:rPr>
          <w:rFonts w:hint="eastAsia" w:asciiTheme="minorHAnsi" w:hAnsiTheme="minorHAnsi" w:eastAsiaTheme="majorEastAsia" w:cstheme="minorHAnsi"/>
          <w:szCs w:val="21"/>
        </w:rPr>
        <w:t>按校方规定充分享受各类校园设施与教育资源</w:t>
      </w:r>
      <w:r>
        <w:rPr>
          <w:rFonts w:hint="eastAsia" w:cs="Calibri" w:asciiTheme="minorHAnsi" w:hAnsiTheme="minorHAnsi"/>
          <w:szCs w:val="21"/>
        </w:rPr>
        <w:t>；</w:t>
      </w:r>
    </w:p>
    <w:p>
      <w:pPr>
        <w:pStyle w:val="17"/>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【丰富多彩的加州文化体验】毗邻旧金山，前往洛杉矶也十分方便，尽享加州地区特色文化。</w:t>
      </w:r>
    </w:p>
    <w:p>
      <w:pPr>
        <w:widowControl/>
        <w:spacing w:line="360" w:lineRule="auto"/>
        <w:jc w:val="left"/>
        <w:rPr>
          <w:rFonts w:asciiTheme="minorHAnsi" w:hAnsiTheme="minorHAnsi" w:eastAsiaTheme="majorEastAsia" w:cstheme="minorHAnsi"/>
          <w:b/>
          <w:kern w:val="0"/>
          <w:szCs w:val="21"/>
        </w:rPr>
      </w:pPr>
    </w:p>
    <w:p>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 xml:space="preserve">三、 </w:t>
      </w:r>
      <w:r>
        <w:rPr>
          <w:rFonts w:hint="eastAsia" w:asciiTheme="minorHAnsi" w:hAnsiTheme="minorHAnsi" w:eastAsiaTheme="majorEastAsia" w:cstheme="minorHAnsi"/>
          <w:b/>
          <w:bCs/>
          <w:kern w:val="0"/>
          <w:szCs w:val="21"/>
        </w:rPr>
        <w:t>加州大学伯克利分校简介</w:t>
      </w:r>
    </w:p>
    <w:p>
      <w:pPr>
        <w:pStyle w:val="16"/>
        <w:widowControl/>
        <w:numPr>
          <w:ilvl w:val="0"/>
          <w:numId w:val="3"/>
        </w:numPr>
        <w:spacing w:line="360" w:lineRule="auto"/>
        <w:ind w:firstLineChars="0"/>
        <w:jc w:val="left"/>
        <w:rPr>
          <w:rFonts w:cs="Arial" w:asciiTheme="minorHAnsi" w:hAnsiTheme="minorHAnsi"/>
          <w:color w:val="333333"/>
          <w:kern w:val="0"/>
          <w:szCs w:val="21"/>
        </w:rPr>
      </w:pPr>
      <w:r>
        <w:rPr>
          <w:rFonts w:cs="Arial" w:asciiTheme="minorHAnsi" w:hAnsiTheme="minorHAnsi"/>
          <w:color w:val="333333"/>
          <w:kern w:val="0"/>
          <w:szCs w:val="21"/>
        </w:rPr>
        <w:t>创建于18</w:t>
      </w:r>
      <w:r>
        <w:rPr>
          <w:rFonts w:hint="eastAsia" w:cs="Arial" w:asciiTheme="minorHAnsi" w:hAnsiTheme="minorHAnsi"/>
          <w:color w:val="333333"/>
          <w:kern w:val="0"/>
          <w:szCs w:val="21"/>
        </w:rPr>
        <w:t>68</w:t>
      </w:r>
      <w:r>
        <w:rPr>
          <w:rFonts w:cs="Arial" w:asciiTheme="minorHAnsi" w:hAnsiTheme="minorHAnsi"/>
          <w:color w:val="333333"/>
          <w:kern w:val="0"/>
          <w:szCs w:val="21"/>
        </w:rPr>
        <w:t>年的</w:t>
      </w:r>
      <w:r>
        <w:rPr>
          <w:rFonts w:asciiTheme="minorHAnsi" w:hAnsiTheme="minorHAnsi" w:cstheme="minorHAnsi"/>
          <w:kern w:val="0"/>
          <w:szCs w:val="21"/>
        </w:rPr>
        <w:t>世界级公立研究型大学，加州大学系统中十大分校之一</w:t>
      </w:r>
      <w:r>
        <w:rPr>
          <w:rFonts w:hint="eastAsia" w:asciiTheme="minorHAnsi" w:hAnsiTheme="minorHAnsi" w:cstheme="minorHAnsi"/>
          <w:kern w:val="0"/>
          <w:szCs w:val="21"/>
        </w:rPr>
        <w:t>，同时也是加州大学系统的创始校区</w:t>
      </w:r>
      <w:r>
        <w:rPr>
          <w:rFonts w:hint="eastAsia" w:cs="Arial" w:asciiTheme="minorHAnsi" w:hAnsiTheme="minorHAnsi"/>
          <w:color w:val="333333"/>
          <w:kern w:val="0"/>
          <w:szCs w:val="21"/>
        </w:rPr>
        <w:t>；</w:t>
      </w:r>
    </w:p>
    <w:p>
      <w:pPr>
        <w:pStyle w:val="16"/>
        <w:widowControl/>
        <w:numPr>
          <w:ilvl w:val="0"/>
          <w:numId w:val="3"/>
        </w:numPr>
        <w:spacing w:line="360" w:lineRule="auto"/>
        <w:ind w:firstLineChars="0"/>
        <w:jc w:val="left"/>
        <w:rPr>
          <w:rFonts w:asciiTheme="minorHAnsi" w:hAnsiTheme="minorHAnsi"/>
        </w:rPr>
      </w:pPr>
      <w:r>
        <w:rPr>
          <w:rFonts w:cs="Arial" w:asciiTheme="minorHAnsi" w:hAnsiTheme="minorHAnsi"/>
          <w:color w:val="333333"/>
          <w:kern w:val="0"/>
          <w:szCs w:val="21"/>
        </w:rPr>
        <w:t>20</w:t>
      </w:r>
      <w:r>
        <w:rPr>
          <w:rFonts w:hint="eastAsia" w:cs="Arial" w:asciiTheme="minorHAnsi" w:hAnsiTheme="minorHAnsi"/>
          <w:color w:val="333333"/>
          <w:kern w:val="0"/>
          <w:szCs w:val="21"/>
        </w:rPr>
        <w:t>20年</w:t>
      </w:r>
      <w:r>
        <w:rPr>
          <w:rFonts w:cs="Arial" w:asciiTheme="minorHAnsi" w:hAnsiTheme="minorHAnsi"/>
          <w:color w:val="333333"/>
          <w:kern w:val="0"/>
          <w:szCs w:val="21"/>
        </w:rPr>
        <w:t>美国新闻与世界报道全美公立大学排名第2，</w:t>
      </w:r>
      <w:r>
        <w:rPr>
          <w:rFonts w:hint="eastAsia" w:cs="Arial" w:asciiTheme="minorHAnsi" w:hAnsiTheme="minorHAnsi"/>
          <w:color w:val="333333"/>
          <w:kern w:val="0"/>
          <w:szCs w:val="21"/>
        </w:rPr>
        <w:t>全球大学排名第4</w:t>
      </w:r>
      <w:r>
        <w:rPr>
          <w:rFonts w:cs="Arial" w:asciiTheme="minorHAnsi" w:hAnsiTheme="minorHAnsi"/>
          <w:color w:val="333333"/>
          <w:kern w:val="0"/>
          <w:szCs w:val="21"/>
        </w:rPr>
        <w:t>；</w:t>
      </w:r>
      <w:r>
        <w:rPr>
          <w:rFonts w:asciiTheme="minorHAnsi" w:hAnsiTheme="minorHAnsi"/>
        </w:rPr>
        <w:t>20</w:t>
      </w:r>
      <w:r>
        <w:rPr>
          <w:rFonts w:hint="eastAsia" w:asciiTheme="minorHAnsi" w:hAnsiTheme="minorHAnsi"/>
        </w:rPr>
        <w:t>20</w:t>
      </w:r>
      <w:r>
        <w:rPr>
          <w:rFonts w:asciiTheme="minorHAnsi" w:hAnsiTheme="minorHAnsi"/>
        </w:rPr>
        <w:t>年Times高等教育世界大学综合排名第</w:t>
      </w:r>
      <w:r>
        <w:rPr>
          <w:rFonts w:hint="eastAsia" w:asciiTheme="minorHAnsi" w:hAnsiTheme="minorHAnsi"/>
        </w:rPr>
        <w:t>13；2019</w:t>
      </w:r>
      <w:r>
        <w:rPr>
          <w:rFonts w:asciiTheme="minorHAnsi" w:hAnsiTheme="minorHAnsi"/>
        </w:rPr>
        <w:t>上海交通大学世界大学学术排名</w:t>
      </w:r>
      <w:r>
        <w:rPr>
          <w:rFonts w:hint="eastAsia" w:asciiTheme="minorHAnsi" w:hAnsiTheme="minorHAnsi"/>
        </w:rPr>
        <w:t>（ARWU）位居第5</w:t>
      </w:r>
    </w:p>
    <w:p>
      <w:pPr>
        <w:pStyle w:val="16"/>
        <w:widowControl/>
        <w:numPr>
          <w:ilvl w:val="0"/>
          <w:numId w:val="3"/>
        </w:numPr>
        <w:spacing w:line="360" w:lineRule="auto"/>
        <w:ind w:firstLineChars="0"/>
        <w:jc w:val="left"/>
        <w:rPr>
          <w:rFonts w:asciiTheme="minorHAnsi" w:hAnsiTheme="minorHAnsi"/>
        </w:rPr>
      </w:pPr>
      <w:r>
        <w:rPr>
          <w:rFonts w:hint="eastAsia" w:cs="Arial" w:asciiTheme="minorHAnsi" w:hAnsiTheme="minorHAnsi"/>
          <w:color w:val="333333"/>
          <w:kern w:val="0"/>
          <w:szCs w:val="21"/>
        </w:rPr>
        <w:t>工程学院排名全美第3，商学院排名全美第6，法学院排名全美第10，教育学院排名全美第18；</w:t>
      </w:r>
    </w:p>
    <w:p>
      <w:pPr>
        <w:pStyle w:val="16"/>
        <w:widowControl/>
        <w:numPr>
          <w:ilvl w:val="0"/>
          <w:numId w:val="3"/>
        </w:numPr>
        <w:spacing w:line="360" w:lineRule="auto"/>
        <w:ind w:firstLineChars="0"/>
        <w:jc w:val="left"/>
        <w:rPr>
          <w:rFonts w:asciiTheme="minorHAnsi" w:hAnsiTheme="minorHAnsi"/>
        </w:rPr>
      </w:pPr>
      <w:r>
        <w:rPr>
          <w:rFonts w:hint="eastAsia" w:cs="Arial" w:asciiTheme="minorHAnsi" w:hAnsiTheme="minorHAnsi"/>
          <w:color w:val="333333"/>
          <w:kern w:val="0"/>
          <w:szCs w:val="21"/>
        </w:rPr>
        <w:t>排名位居全美第1的专业包括：土木工程、环境工程、生态学、分子生物学、生物化学、计算机科学、经济学、心理学、社会学、知识产权法等；</w:t>
      </w:r>
    </w:p>
    <w:p>
      <w:pPr>
        <w:pStyle w:val="16"/>
        <w:widowControl/>
        <w:numPr>
          <w:ilvl w:val="0"/>
          <w:numId w:val="3"/>
        </w:numPr>
        <w:spacing w:line="360" w:lineRule="auto"/>
        <w:ind w:firstLineChars="0"/>
        <w:jc w:val="left"/>
        <w:rPr>
          <w:rFonts w:asciiTheme="minorHAnsi" w:hAnsiTheme="minorHAnsi"/>
        </w:rPr>
      </w:pPr>
      <w:r>
        <w:rPr>
          <w:rFonts w:cs="Calibri" w:asciiTheme="minorHAnsi" w:hAnsiTheme="minorHAnsi"/>
          <w:szCs w:val="21"/>
        </w:rPr>
        <w:t>历届校友中共有</w:t>
      </w:r>
      <w:r>
        <w:rPr>
          <w:rFonts w:hint="eastAsia" w:cs="Calibri" w:asciiTheme="minorHAnsi" w:hAnsiTheme="minorHAnsi"/>
          <w:szCs w:val="21"/>
        </w:rPr>
        <w:t>30位诺贝尔奖得主，此外还有22位诺贝尔奖得主曾经或正在学校任教。</w:t>
      </w:r>
    </w:p>
    <w:p>
      <w:pPr>
        <w:widowControl/>
        <w:spacing w:line="360" w:lineRule="auto"/>
        <w:ind w:firstLine="420" w:firstLineChars="200"/>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b/>
          <w:szCs w:val="21"/>
        </w:rPr>
      </w:pPr>
      <w:r>
        <w:rPr>
          <w:rFonts w:hint="eastAsia" w:asciiTheme="minorHAnsi" w:hAnsiTheme="minorHAnsi" w:eastAsiaTheme="majorEastAsia" w:cstheme="minorHAnsi"/>
          <w:b/>
          <w:szCs w:val="21"/>
        </w:rPr>
        <w:t>四、 项目详情</w:t>
      </w: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pPr>
        <w:widowControl/>
        <w:spacing w:line="360" w:lineRule="auto"/>
        <w:jc w:val="left"/>
        <w:rPr>
          <w:rFonts w:asciiTheme="minorHAnsi" w:hAnsiTheme="minorHAnsi" w:cstheme="minorHAnsi"/>
          <w:b/>
        </w:rPr>
      </w:pPr>
      <w:r>
        <w:rPr>
          <w:rFonts w:asciiTheme="minorHAnsi" w:hAnsiTheme="minorHAnsi" w:cstheme="minorHAnsi"/>
          <w:b/>
        </w:rPr>
        <w:t>2020</w:t>
      </w:r>
      <w:r>
        <w:rPr>
          <w:rFonts w:hint="eastAsia" w:asciiTheme="minorHAnsi" w:hAnsiTheme="minorHAnsi" w:cstheme="minorHAnsi"/>
          <w:b/>
        </w:rPr>
        <w:t>年7月</w:t>
      </w:r>
      <w:r>
        <w:rPr>
          <w:rFonts w:asciiTheme="minorHAnsi" w:hAnsiTheme="minorHAnsi" w:cstheme="minorHAnsi"/>
          <w:b/>
        </w:rPr>
        <w:t>6</w:t>
      </w:r>
      <w:r>
        <w:rPr>
          <w:rFonts w:hint="eastAsia" w:asciiTheme="minorHAnsi" w:hAnsiTheme="minorHAnsi" w:cstheme="minorHAnsi"/>
          <w:b/>
        </w:rPr>
        <w:t>日</w:t>
      </w:r>
      <w:r>
        <w:rPr>
          <w:rFonts w:asciiTheme="minorHAnsi" w:hAnsiTheme="minorHAnsi" w:cstheme="minorHAnsi"/>
          <w:b/>
        </w:rPr>
        <w:t xml:space="preserve">- </w:t>
      </w:r>
      <w:r>
        <w:rPr>
          <w:rFonts w:hint="eastAsia" w:asciiTheme="minorHAnsi" w:hAnsiTheme="minorHAnsi" w:cstheme="minorHAnsi"/>
          <w:b/>
        </w:rPr>
        <w:t>8月</w:t>
      </w:r>
      <w:r>
        <w:rPr>
          <w:rFonts w:asciiTheme="minorHAnsi" w:hAnsiTheme="minorHAnsi" w:cstheme="minorHAnsi"/>
          <w:b/>
        </w:rPr>
        <w:t>1</w:t>
      </w:r>
      <w:r>
        <w:rPr>
          <w:rFonts w:hint="eastAsia" w:asciiTheme="minorHAnsi" w:hAnsiTheme="minorHAnsi" w:cstheme="minorHAnsi"/>
          <w:b/>
        </w:rPr>
        <w:t>4日（6周）</w:t>
      </w:r>
    </w:p>
    <w:p>
      <w:pPr>
        <w:widowControl/>
        <w:spacing w:line="360" w:lineRule="auto"/>
        <w:jc w:val="left"/>
        <w:rPr>
          <w:rFonts w:asciiTheme="minorHAnsi" w:hAnsiTheme="minorHAnsi" w:cstheme="minorHAnsi"/>
          <w:b/>
        </w:rPr>
      </w:pPr>
      <w:r>
        <w:rPr>
          <w:rFonts w:hint="eastAsia" w:asciiTheme="minorHAnsi" w:hAnsiTheme="minorHAnsi" w:cstheme="minorHAnsi"/>
          <w:b/>
        </w:rPr>
        <w:t>2020年7月6日-7月24日，或7月27日-8月14日（3周）</w:t>
      </w:r>
    </w:p>
    <w:p>
      <w:pPr>
        <w:widowControl/>
        <w:spacing w:line="360" w:lineRule="auto"/>
        <w:jc w:val="left"/>
        <w:rPr>
          <w:rFonts w:asciiTheme="minorHAnsi" w:hAnsiTheme="minorHAnsi" w:cstheme="minorHAnsi"/>
          <w:b/>
        </w:rPr>
      </w:pPr>
    </w:p>
    <w:p>
      <w:pPr>
        <w:spacing w:line="360" w:lineRule="auto"/>
        <w:rPr>
          <w:rFonts w:asciiTheme="minorHAnsi" w:hAnsiTheme="minorHAnsi" w:eastAsiaTheme="majorEastAsia" w:cstheme="minorHAnsi"/>
          <w:b/>
          <w:bCs/>
          <w:kern w:val="0"/>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pPr>
        <w:spacing w:line="360" w:lineRule="auto"/>
        <w:ind w:firstLine="420" w:firstLineChars="200"/>
        <w:rPr>
          <w:rFonts w:cs="Calibri" w:asciiTheme="minorHAnsi" w:hAnsiTheme="minorHAnsi"/>
          <w:szCs w:val="21"/>
        </w:rPr>
      </w:pPr>
      <w:r>
        <w:rPr>
          <w:rFonts w:cs="Calibri" w:asciiTheme="minorHAnsi" w:hAnsiTheme="minorHAnsi"/>
          <w:szCs w:val="21"/>
        </w:rPr>
        <w:t>加州大学伯克利</w:t>
      </w:r>
      <w:r>
        <w:rPr>
          <w:rFonts w:hint="eastAsia" w:cs="Calibri" w:asciiTheme="minorHAnsi" w:hAnsiTheme="minorHAnsi"/>
          <w:szCs w:val="21"/>
        </w:rPr>
        <w:t>分校</w:t>
      </w:r>
      <w:r>
        <w:rPr>
          <w:rFonts w:cs="Calibri" w:asciiTheme="minorHAnsi" w:hAnsiTheme="minorHAnsi"/>
          <w:szCs w:val="21"/>
        </w:rPr>
        <w:t>的</w:t>
      </w:r>
      <w:r>
        <w:rPr>
          <w:rFonts w:hint="eastAsia" w:cs="Calibri" w:asciiTheme="minorHAnsi" w:hAnsiTheme="minorHAnsi"/>
          <w:szCs w:val="21"/>
        </w:rPr>
        <w:t>暑期专业学分课程，为学生提供丰富多彩的大学专业课程选择，共有超过90类学科的600多门课程，领域覆盖工程、计算机科学、数理化、生物、地球科学、天文地理、环境、人文社科、文学、语言、建筑、历史、艺术与设计、商科、经济学、教育、新闻与传媒、法律、音乐电影、哲学、政治科学、心理学、公共健康、公共政策、社会学、统计学等。其中，编号1-99的为初级本科课程，编号100-199的为高级本科课程，编号200-299的为研究生课程。</w:t>
      </w:r>
      <w:r>
        <w:rPr>
          <w:rFonts w:asciiTheme="minorHAnsi" w:hAnsiTheme="minorHAnsi" w:eastAsiaTheme="majorEastAsia" w:cstheme="minorHAnsi"/>
          <w:szCs w:val="21"/>
        </w:rPr>
        <w:t>查询详细课程列表及预订情况</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可参照校方</w:t>
      </w:r>
      <w:r>
        <w:fldChar w:fldCharType="begin"/>
      </w:r>
      <w:r>
        <w:instrText xml:space="preserve"> HYPERLINK "http://classes.berkeley.edu" </w:instrText>
      </w:r>
      <w:r>
        <w:fldChar w:fldCharType="separate"/>
      </w:r>
      <w:r>
        <w:rPr>
          <w:rStyle w:val="12"/>
          <w:rFonts w:asciiTheme="minorHAnsi" w:hAnsiTheme="minorHAnsi" w:eastAsiaTheme="majorEastAsia" w:cstheme="minorHAnsi"/>
          <w:szCs w:val="21"/>
        </w:rPr>
        <w:t>官网</w:t>
      </w:r>
      <w:r>
        <w:rPr>
          <w:rStyle w:val="12"/>
          <w:rFonts w:asciiTheme="minorHAnsi" w:hAnsiTheme="minorHAnsi" w:eastAsiaTheme="majorEastAsia" w:cstheme="minorHAnsi"/>
          <w:szCs w:val="21"/>
        </w:rPr>
        <w:fldChar w:fldCharType="end"/>
      </w:r>
      <w:r>
        <w:rPr>
          <w:rFonts w:hint="eastAsia" w:asciiTheme="minorHAnsi" w:hAnsiTheme="minorHAnsi" w:eastAsiaTheme="majorEastAsia" w:cstheme="minorHAnsi"/>
          <w:szCs w:val="21"/>
        </w:rPr>
        <w:t>。</w:t>
      </w:r>
    </w:p>
    <w:p>
      <w:pPr>
        <w:spacing w:line="360" w:lineRule="auto"/>
        <w:ind w:firstLine="420" w:firstLineChars="200"/>
        <w:rPr>
          <w:rFonts w:asciiTheme="minorHAnsi" w:hAnsiTheme="minorHAnsi" w:eastAsiaTheme="majorEastAsia" w:cstheme="minorHAnsi"/>
          <w:szCs w:val="21"/>
        </w:rPr>
      </w:pPr>
      <w:r>
        <w:rPr>
          <w:rFonts w:asciiTheme="minorHAnsi" w:hAnsiTheme="minorHAnsi" w:eastAsiaTheme="majorEastAsia" w:cstheme="minorHAnsi"/>
          <w:szCs w:val="21"/>
        </w:rPr>
        <w:t>参加三周暑期课程的学生通常选择一门课</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参加六周课程的学生通常选择两门课</w:t>
      </w:r>
      <w:r>
        <w:rPr>
          <w:rFonts w:hint="eastAsia" w:asciiTheme="minorHAnsi" w:hAnsiTheme="minorHAnsi" w:eastAsiaTheme="majorEastAsia" w:cstheme="minorHAnsi"/>
          <w:szCs w:val="21"/>
        </w:rPr>
        <w:t>，学生</w:t>
      </w:r>
      <w:r>
        <w:rPr>
          <w:rFonts w:asciiTheme="minorHAnsi" w:hAnsiTheme="minorHAnsi" w:eastAsiaTheme="majorEastAsia" w:cstheme="minorHAnsi"/>
          <w:szCs w:val="21"/>
        </w:rPr>
        <w:t>将与</w:t>
      </w:r>
      <w:r>
        <w:rPr>
          <w:rFonts w:cs="Calibri" w:asciiTheme="minorHAnsi" w:hAnsiTheme="minorHAnsi"/>
          <w:szCs w:val="21"/>
        </w:rPr>
        <w:t>加州大学伯克利</w:t>
      </w:r>
      <w:r>
        <w:rPr>
          <w:rFonts w:hint="eastAsia" w:cs="Calibri" w:asciiTheme="minorHAnsi" w:hAnsiTheme="minorHAnsi"/>
          <w:szCs w:val="21"/>
        </w:rPr>
        <w:t>分校的</w:t>
      </w:r>
      <w:r>
        <w:rPr>
          <w:rFonts w:asciiTheme="minorHAnsi" w:hAnsiTheme="minorHAnsi" w:eastAsiaTheme="majorEastAsia" w:cstheme="minorHAnsi"/>
          <w:szCs w:val="21"/>
        </w:rPr>
        <w:t>在读学生</w:t>
      </w:r>
      <w:r>
        <w:rPr>
          <w:rFonts w:hint="eastAsia" w:asciiTheme="minorHAnsi" w:hAnsiTheme="minorHAnsi" w:eastAsiaTheme="majorEastAsia" w:cstheme="minorHAnsi"/>
          <w:szCs w:val="21"/>
        </w:rPr>
        <w:t>或</w:t>
      </w:r>
      <w:r>
        <w:rPr>
          <w:rFonts w:asciiTheme="minorHAnsi" w:hAnsiTheme="minorHAnsi" w:eastAsiaTheme="majorEastAsia" w:cstheme="minorHAnsi"/>
          <w:szCs w:val="21"/>
        </w:rPr>
        <w:t>其他国际学生混合编班，由</w:t>
      </w:r>
      <w:r>
        <w:rPr>
          <w:rFonts w:cs="Calibri" w:asciiTheme="minorHAnsi" w:hAnsiTheme="minorHAnsi"/>
          <w:szCs w:val="21"/>
        </w:rPr>
        <w:t>加州大学伯克利</w:t>
      </w:r>
      <w:r>
        <w:rPr>
          <w:rFonts w:hint="eastAsia" w:cs="Calibri" w:asciiTheme="minorHAnsi" w:hAnsiTheme="minorHAnsi"/>
          <w:szCs w:val="21"/>
        </w:rPr>
        <w:t>分校</w:t>
      </w:r>
      <w:r>
        <w:rPr>
          <w:rFonts w:asciiTheme="minorHAnsi" w:hAnsiTheme="minorHAnsi" w:eastAsiaTheme="majorEastAsia" w:cstheme="minorHAnsi"/>
          <w:szCs w:val="21"/>
        </w:rPr>
        <w:t>进行统一的学术管理与学术考核</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顺利完成课程后可获得相应的学分。</w:t>
      </w:r>
      <w:r>
        <w:rPr>
          <w:rFonts w:hint="eastAsia" w:asciiTheme="minorHAnsi" w:hAnsiTheme="minorHAnsi" w:eastAsiaTheme="majorEastAsia" w:cstheme="minorHAnsi"/>
          <w:szCs w:val="21"/>
        </w:rPr>
        <w:t>每门课在1-6学分不等，但多数课程</w:t>
      </w:r>
      <w:r>
        <w:rPr>
          <w:rFonts w:asciiTheme="minorHAnsi" w:hAnsiTheme="minorHAnsi" w:eastAsiaTheme="majorEastAsia" w:cstheme="minorHAnsi"/>
          <w:szCs w:val="21"/>
        </w:rPr>
        <w:t>为</w:t>
      </w:r>
      <w:r>
        <w:rPr>
          <w:rFonts w:hint="eastAsia" w:asciiTheme="minorHAnsi" w:hAnsiTheme="minorHAnsi" w:eastAsiaTheme="majorEastAsia" w:cstheme="minorHAnsi"/>
          <w:szCs w:val="21"/>
        </w:rPr>
        <w:t>3-4学分，最终以学生实际选择的课程为准。</w:t>
      </w:r>
    </w:p>
    <w:p>
      <w:pPr>
        <w:spacing w:line="360" w:lineRule="auto"/>
        <w:ind w:firstLine="420" w:firstLineChars="200"/>
        <w:rPr>
          <w:rFonts w:asciiTheme="minorHAnsi" w:hAnsiTheme="minorHAnsi" w:eastAsiaTheme="majorEastAsia" w:cstheme="minorHAnsi"/>
          <w:szCs w:val="21"/>
        </w:rPr>
      </w:pPr>
    </w:p>
    <w:p>
      <w:pPr>
        <w:spacing w:line="360" w:lineRule="auto"/>
        <w:ind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bCs/>
          <w:szCs w:val="21"/>
        </w:rPr>
        <w:t>希望重点提升自身英语技能的学生，可以</w:t>
      </w:r>
      <w:r>
        <w:rPr>
          <w:rFonts w:hint="eastAsia" w:asciiTheme="minorHAnsi" w:hAnsiTheme="minorHAnsi" w:eastAsiaTheme="majorEastAsia" w:cstheme="minorHAnsi"/>
          <w:szCs w:val="21"/>
        </w:rPr>
        <w:t>参加“</w:t>
      </w:r>
      <w:r>
        <w:rPr>
          <w:rFonts w:hint="eastAsia" w:asciiTheme="minorHAnsi" w:hAnsiTheme="minorHAnsi"/>
        </w:rPr>
        <w:t>暑期英语研习项目”，共有数十门不同主题的英语课程可供选择，以满足学生不同层面的英语需求，主题主要涉及以下三方面：</w:t>
      </w:r>
    </w:p>
    <w:p>
      <w:pPr>
        <w:widowControl/>
        <w:numPr>
          <w:ilvl w:val="0"/>
          <w:numId w:val="4"/>
        </w:numPr>
        <w:spacing w:line="432" w:lineRule="atLeast"/>
        <w:ind w:left="450"/>
        <w:jc w:val="left"/>
        <w:textAlignment w:val="baseline"/>
        <w:rPr>
          <w:rFonts w:ascii="Georgia" w:hAnsi="Georgia"/>
          <w:color w:val="333333"/>
          <w:sz w:val="20"/>
          <w:szCs w:val="20"/>
        </w:rPr>
      </w:pPr>
      <w:r>
        <w:rPr>
          <w:rFonts w:asciiTheme="minorHAnsi" w:hAnsiTheme="minorHAnsi"/>
          <w:u w:val="single"/>
        </w:rPr>
        <w:t>职业与学术英语</w:t>
      </w:r>
      <w:r>
        <w:rPr>
          <w:rFonts w:hint="eastAsia" w:asciiTheme="minorHAnsi" w:hAnsiTheme="minorHAnsi"/>
        </w:rPr>
        <w:t>（</w:t>
      </w:r>
      <w:r>
        <w:fldChar w:fldCharType="begin"/>
      </w:r>
      <w:r>
        <w:instrText xml:space="preserve"> HYPERLINK "http://summerenglish.berkeley.edu/courses/english-for-specific-professional-and-academic-purposes/" </w:instrText>
      </w:r>
      <w:r>
        <w:fldChar w:fldCharType="separate"/>
      </w:r>
      <w:r>
        <w:rPr>
          <w:rFonts w:asciiTheme="minorHAnsi" w:hAnsiTheme="minorHAnsi"/>
          <w:iCs/>
        </w:rPr>
        <w:t>English for Specific Professional and Academic Purposes</w:t>
      </w:r>
      <w:r>
        <w:rPr>
          <w:rFonts w:asciiTheme="minorHAnsi" w:hAnsiTheme="minorHAnsi"/>
          <w:iCs/>
        </w:rPr>
        <w:fldChar w:fldCharType="end"/>
      </w:r>
      <w:r>
        <w:rPr>
          <w:rFonts w:hint="eastAsia" w:asciiTheme="minorHAnsi" w:hAnsiTheme="minorHAnsi"/>
        </w:rPr>
        <w:t>）</w:t>
      </w:r>
      <w:r>
        <w:rPr>
          <w:rFonts w:ascii="Georgia" w:hAnsi="Georgia"/>
          <w:color w:val="333333"/>
          <w:sz w:val="20"/>
          <w:szCs w:val="20"/>
        </w:rPr>
        <w:br w:type="textWrapping"/>
      </w:r>
      <w:r>
        <w:rPr>
          <w:rFonts w:cs="Calibri" w:asciiTheme="minorHAnsi" w:hAnsiTheme="minorHAnsi"/>
          <w:szCs w:val="21"/>
        </w:rPr>
        <w:t>本课程主要针对希望提高特定学科或职业领域英语技能的学生或职业人士</w:t>
      </w:r>
      <w:r>
        <w:rPr>
          <w:rFonts w:hint="eastAsia" w:cs="Calibri" w:asciiTheme="minorHAnsi" w:hAnsiTheme="minorHAnsi"/>
          <w:szCs w:val="21"/>
        </w:rPr>
        <w:t>，比如艺术与设计、商务英语、科技英语、工程英语、法律英语、求职技巧等。</w:t>
      </w:r>
    </w:p>
    <w:p>
      <w:pPr>
        <w:widowControl/>
        <w:numPr>
          <w:ilvl w:val="0"/>
          <w:numId w:val="4"/>
        </w:numPr>
        <w:spacing w:line="432" w:lineRule="atLeast"/>
        <w:ind w:left="450"/>
        <w:jc w:val="left"/>
        <w:textAlignment w:val="baseline"/>
        <w:rPr>
          <w:rFonts w:ascii="Georgia" w:hAnsi="Georgia"/>
          <w:color w:val="333333"/>
          <w:sz w:val="20"/>
          <w:szCs w:val="20"/>
        </w:rPr>
      </w:pPr>
      <w:r>
        <w:rPr>
          <w:rFonts w:hint="eastAsia" w:asciiTheme="minorHAnsi" w:hAnsiTheme="minorHAnsi"/>
          <w:u w:val="single"/>
        </w:rPr>
        <w:t>文化</w:t>
      </w:r>
      <w:r>
        <w:rPr>
          <w:rFonts w:asciiTheme="minorHAnsi" w:hAnsiTheme="minorHAnsi"/>
          <w:u w:val="single"/>
        </w:rPr>
        <w:t>与传媒英语</w:t>
      </w:r>
      <w:r>
        <w:rPr>
          <w:rFonts w:hint="eastAsia" w:asciiTheme="minorHAnsi" w:hAnsiTheme="minorHAnsi"/>
        </w:rPr>
        <w:t>（</w:t>
      </w:r>
      <w:r>
        <w:fldChar w:fldCharType="begin"/>
      </w:r>
      <w:r>
        <w:instrText xml:space="preserve"> HYPERLINK "http://summerenglish.berkeley.edu/courses/english-through-culture-and-media/" </w:instrText>
      </w:r>
      <w:r>
        <w:fldChar w:fldCharType="separate"/>
      </w:r>
      <w:r>
        <w:rPr>
          <w:rFonts w:asciiTheme="minorHAnsi" w:hAnsiTheme="minorHAnsi"/>
          <w:iCs/>
        </w:rPr>
        <w:t>English Through Culture and Media</w:t>
      </w:r>
      <w:r>
        <w:rPr>
          <w:rFonts w:asciiTheme="minorHAnsi" w:hAnsiTheme="minorHAnsi"/>
          <w:iCs/>
        </w:rPr>
        <w:fldChar w:fldCharType="end"/>
      </w:r>
      <w:r>
        <w:rPr>
          <w:rFonts w:hint="eastAsia" w:asciiTheme="minorHAnsi" w:hAnsiTheme="minorHAnsi"/>
          <w:iCs/>
        </w:rPr>
        <w:t>）</w:t>
      </w:r>
      <w:r>
        <w:rPr>
          <w:rFonts w:ascii="Georgia" w:hAnsi="Georgia"/>
          <w:color w:val="333333"/>
          <w:sz w:val="20"/>
          <w:szCs w:val="20"/>
        </w:rPr>
        <w:br w:type="textWrapping"/>
      </w:r>
      <w:r>
        <w:rPr>
          <w:rFonts w:cs="Calibri" w:asciiTheme="minorHAnsi" w:hAnsiTheme="minorHAnsi"/>
          <w:szCs w:val="21"/>
        </w:rPr>
        <w:t>本课程</w:t>
      </w:r>
      <w:r>
        <w:rPr>
          <w:rFonts w:hint="eastAsia" w:cs="Calibri" w:asciiTheme="minorHAnsi" w:hAnsiTheme="minorHAnsi"/>
          <w:szCs w:val="21"/>
        </w:rPr>
        <w:t>旨在</w:t>
      </w:r>
      <w:r>
        <w:rPr>
          <w:rFonts w:cs="Calibri" w:asciiTheme="minorHAnsi" w:hAnsiTheme="minorHAnsi"/>
          <w:szCs w:val="21"/>
        </w:rPr>
        <w:t>满足学生对于文化与传媒领域兴趣主题的英语需求</w:t>
      </w:r>
      <w:r>
        <w:rPr>
          <w:rFonts w:hint="eastAsia" w:cs="Calibri" w:asciiTheme="minorHAnsi" w:hAnsiTheme="minorHAnsi"/>
          <w:szCs w:val="21"/>
        </w:rPr>
        <w:t>，比如流行音乐、电影电视、文学、媒体、饮食文化、百老汇音乐剧、可持续性、环境问题等。</w:t>
      </w:r>
    </w:p>
    <w:p>
      <w:pPr>
        <w:widowControl/>
        <w:numPr>
          <w:ilvl w:val="0"/>
          <w:numId w:val="4"/>
        </w:numPr>
        <w:spacing w:line="432" w:lineRule="atLeast"/>
        <w:ind w:left="450"/>
        <w:jc w:val="left"/>
        <w:textAlignment w:val="baseline"/>
        <w:rPr>
          <w:rFonts w:ascii="Georgia" w:hAnsi="Georgia"/>
          <w:color w:val="333333"/>
          <w:sz w:val="20"/>
          <w:szCs w:val="20"/>
        </w:rPr>
      </w:pPr>
      <w:r>
        <w:rPr>
          <w:rFonts w:asciiTheme="minorHAnsi" w:hAnsiTheme="minorHAnsi"/>
          <w:u w:val="single"/>
        </w:rPr>
        <w:t>英语强化技能实践</w:t>
      </w:r>
      <w:r>
        <w:rPr>
          <w:rFonts w:hint="eastAsia" w:asciiTheme="minorHAnsi" w:hAnsiTheme="minorHAnsi"/>
        </w:rPr>
        <w:t>（Intensive Skill Practice in English）</w:t>
      </w:r>
      <w:r>
        <w:rPr>
          <w:rFonts w:ascii="Georgia" w:hAnsi="Georgia"/>
          <w:color w:val="333333"/>
          <w:sz w:val="20"/>
          <w:szCs w:val="20"/>
        </w:rPr>
        <w:br w:type="textWrapping"/>
      </w:r>
      <w:r>
        <w:rPr>
          <w:rFonts w:hint="eastAsia" w:cs="Calibri" w:asciiTheme="minorHAnsi" w:hAnsiTheme="minorHAnsi"/>
          <w:szCs w:val="21"/>
        </w:rPr>
        <w:t>本课程旨在帮助学生提高获得学业或职业成功所必需的专项英语技能，比如学术研究、学术写作、听力与口语、公众演讲、数字化媒体写作、冲突解决技巧等</w:t>
      </w:r>
      <w:r>
        <w:rPr>
          <w:rFonts w:hint="eastAsia" w:ascii="Georgia" w:hAnsi="Georgia"/>
          <w:color w:val="333333"/>
          <w:sz w:val="20"/>
          <w:szCs w:val="20"/>
        </w:rPr>
        <w:t>。</w:t>
      </w:r>
    </w:p>
    <w:p>
      <w:pPr>
        <w:spacing w:line="360" w:lineRule="auto"/>
        <w:ind w:firstLine="420" w:firstLineChars="200"/>
        <w:rPr>
          <w:rFonts w:asciiTheme="minorHAnsi" w:hAnsiTheme="minorHAnsi" w:eastAsiaTheme="majorEastAsia" w:cstheme="minorHAnsi"/>
          <w:szCs w:val="21"/>
        </w:rPr>
      </w:pPr>
    </w:p>
    <w:p>
      <w:pPr>
        <w:spacing w:line="360" w:lineRule="auto"/>
        <w:ind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注：</w:t>
      </w:r>
      <w:r>
        <w:rPr>
          <w:rFonts w:asciiTheme="minorHAnsi" w:hAnsiTheme="minorHAnsi" w:eastAsiaTheme="majorEastAsia" w:cstheme="minorHAnsi"/>
          <w:szCs w:val="21"/>
        </w:rPr>
        <w:t>参加英语</w:t>
      </w:r>
      <w:r>
        <w:rPr>
          <w:rFonts w:hint="eastAsia" w:asciiTheme="minorHAnsi" w:hAnsiTheme="minorHAnsi" w:eastAsiaTheme="majorEastAsia" w:cstheme="minorHAnsi"/>
          <w:szCs w:val="21"/>
        </w:rPr>
        <w:t>研习</w:t>
      </w:r>
      <w:r>
        <w:rPr>
          <w:rFonts w:asciiTheme="minorHAnsi" w:hAnsiTheme="minorHAnsi" w:eastAsiaTheme="majorEastAsia" w:cstheme="minorHAnsi"/>
          <w:szCs w:val="21"/>
        </w:rPr>
        <w:t>课程</w:t>
      </w:r>
      <w:r>
        <w:rPr>
          <w:rFonts w:hint="eastAsia" w:asciiTheme="minorHAnsi" w:hAnsiTheme="minorHAnsi" w:eastAsiaTheme="majorEastAsia" w:cstheme="minorHAnsi"/>
          <w:szCs w:val="21"/>
        </w:rPr>
        <w:t>的学生，同样</w:t>
      </w:r>
      <w:r>
        <w:rPr>
          <w:rFonts w:asciiTheme="minorHAnsi" w:hAnsiTheme="minorHAnsi" w:eastAsiaTheme="majorEastAsia" w:cstheme="minorHAnsi"/>
          <w:szCs w:val="21"/>
        </w:rPr>
        <w:t>可获得加州大学伯克利分校的正式学分</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 xml:space="preserve"> </w:t>
      </w:r>
    </w:p>
    <w:p>
      <w:pPr>
        <w:widowControl/>
        <w:spacing w:line="360" w:lineRule="auto"/>
        <w:jc w:val="left"/>
        <w:rPr>
          <w:rFonts w:asciiTheme="minorHAnsi" w:hAnsiTheme="minorHAnsi" w:eastAsiaTheme="majorEastAsia" w:cstheme="minorHAnsi"/>
          <w:szCs w:val="21"/>
        </w:rPr>
      </w:pPr>
      <w:r>
        <w:drawing>
          <wp:anchor distT="0" distB="0" distL="114300" distR="114300" simplePos="0" relativeHeight="251667456" behindDoc="0" locked="0" layoutInCell="1" allowOverlap="1">
            <wp:simplePos x="0" y="0"/>
            <wp:positionH relativeFrom="column">
              <wp:posOffset>0</wp:posOffset>
            </wp:positionH>
            <wp:positionV relativeFrom="paragraph">
              <wp:posOffset>297815</wp:posOffset>
            </wp:positionV>
            <wp:extent cx="5274310" cy="1544955"/>
            <wp:effectExtent l="0" t="0" r="2540" b="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5274310" cy="1544955"/>
                    </a:xfrm>
                    <a:prstGeom prst="rect">
                      <a:avLst/>
                    </a:prstGeom>
                  </pic:spPr>
                </pic:pic>
              </a:graphicData>
            </a:graphic>
          </wp:anchor>
        </w:drawing>
      </w:r>
    </w:p>
    <w:p>
      <w:pPr>
        <w:spacing w:line="360" w:lineRule="auto"/>
        <w:ind w:firstLine="420" w:firstLineChars="200"/>
        <w:rPr>
          <w:rFonts w:cs="Calibri" w:asciiTheme="minorHAnsi" w:hAnsiTheme="minorHAnsi"/>
          <w:szCs w:val="21"/>
        </w:rPr>
      </w:pPr>
    </w:p>
    <w:p>
      <w:pPr>
        <w:spacing w:line="360" w:lineRule="auto"/>
        <w:ind w:firstLine="420" w:firstLineChars="200"/>
        <w:rPr>
          <w:rFonts w:cs="Calibri" w:asciiTheme="minorHAnsi" w:hAnsiTheme="minorHAnsi"/>
          <w:szCs w:val="21"/>
        </w:rPr>
      </w:pPr>
      <w:r>
        <w:rPr>
          <w:rFonts w:hint="eastAsia" w:cs="Calibri" w:asciiTheme="minorHAnsi" w:hAnsiTheme="minorHAnsi"/>
          <w:szCs w:val="21"/>
        </w:rPr>
        <w:t>所有参加项目的学生均可获得加州大学伯克利分校正式注册的学生证，凭借学生证可在项目期内，按校方规定使用学校的校园设施与教育资源，包括图书馆、健身房、活动中心等。</w:t>
      </w:r>
    </w:p>
    <w:p>
      <w:pPr>
        <w:widowControl/>
        <w:spacing w:line="360" w:lineRule="auto"/>
        <w:ind w:firstLine="420" w:firstLineChars="200"/>
        <w:jc w:val="left"/>
        <w:rPr>
          <w:rFonts w:asciiTheme="minorHAnsi" w:hAnsiTheme="minorHAnsi" w:eastAsiaTheme="majorEastAsia" w:cstheme="minorHAnsi"/>
          <w:szCs w:val="21"/>
        </w:rPr>
      </w:pPr>
    </w:p>
    <w:p>
      <w:pPr>
        <w:spacing w:line="360" w:lineRule="auto"/>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项目证书</w:t>
      </w:r>
      <w:r>
        <w:rPr>
          <w:rFonts w:cs="Calibri" w:asciiTheme="minorHAnsi" w:hAnsi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参加项目的学生</w:t>
      </w:r>
      <w:r>
        <w:rPr>
          <w:rFonts w:asciiTheme="minorHAnsi" w:hAnsiTheme="minorHAnsi" w:eastAsiaTheme="majorEastAsia" w:cstheme="minorHAnsi"/>
          <w:szCs w:val="21"/>
        </w:rPr>
        <w:t>由</w:t>
      </w:r>
      <w:r>
        <w:rPr>
          <w:rFonts w:cs="Calibri" w:asciiTheme="minorHAnsi" w:hAnsiTheme="minorHAnsi"/>
          <w:szCs w:val="21"/>
        </w:rPr>
        <w:t>加州大学伯克利</w:t>
      </w:r>
      <w:r>
        <w:rPr>
          <w:rFonts w:hint="eastAsia" w:cs="Calibri" w:asciiTheme="minorHAnsi" w:hAnsiTheme="minorHAnsi"/>
          <w:szCs w:val="21"/>
        </w:rPr>
        <w:t>分校</w:t>
      </w:r>
      <w:r>
        <w:rPr>
          <w:rFonts w:asciiTheme="minorHAnsi" w:hAnsiTheme="minorHAnsi" w:eastAsiaTheme="majorEastAsia" w:cstheme="minorHAnsi"/>
          <w:szCs w:val="21"/>
        </w:rPr>
        <w:t>进行统一的学术管理与学术考核</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顺利完成课程后可获得</w:t>
      </w:r>
      <w:r>
        <w:rPr>
          <w:rFonts w:hint="eastAsia" w:asciiTheme="minorHAnsi" w:hAnsiTheme="minorHAnsi" w:eastAsiaTheme="majorEastAsia" w:cstheme="minorHAnsi"/>
          <w:szCs w:val="21"/>
        </w:rPr>
        <w:t>正式的学分与</w:t>
      </w:r>
      <w:r>
        <w:rPr>
          <w:rFonts w:asciiTheme="minorHAnsi" w:hAnsiTheme="minorHAnsi" w:eastAsiaTheme="majorEastAsia" w:cstheme="minorHAnsi"/>
          <w:szCs w:val="21"/>
        </w:rPr>
        <w:t>成绩单。</w:t>
      </w:r>
    </w:p>
    <w:p>
      <w:pPr>
        <w:spacing w:line="360" w:lineRule="auto"/>
        <w:rPr>
          <w:rFonts w:cs="Calibri" w:asciiTheme="minorHAnsi" w:hAnsiTheme="minorHAnsi"/>
          <w:sz w:val="22"/>
          <w:szCs w:val="22"/>
        </w:rPr>
      </w:pP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2"/>
        <w:gridCol w:w="6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1952"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570"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3周：约4</w:t>
            </w:r>
            <w:r>
              <w:rPr>
                <w:rFonts w:asciiTheme="minorHAnsi" w:hAnsiTheme="minorHAnsi" w:eastAsiaTheme="majorEastAsia" w:cstheme="minorHAnsi"/>
                <w:szCs w:val="21"/>
              </w:rPr>
              <w:t>,268</w:t>
            </w:r>
            <w:r>
              <w:rPr>
                <w:rFonts w:hint="eastAsia" w:asciiTheme="minorHAnsi" w:hAnsiTheme="minorHAnsi" w:eastAsiaTheme="majorEastAsia" w:cstheme="minorHAnsi"/>
                <w:szCs w:val="21"/>
              </w:rPr>
              <w:t>美元（约合人民币3万元）</w:t>
            </w:r>
          </w:p>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6周：约5</w:t>
            </w:r>
            <w:r>
              <w:rPr>
                <w:rFonts w:asciiTheme="minorHAnsi" w:hAnsiTheme="minorHAnsi" w:eastAsiaTheme="majorEastAsia" w:cstheme="minorHAnsi"/>
                <w:szCs w:val="21"/>
              </w:rPr>
              <w:t>,943</w:t>
            </w:r>
            <w:r>
              <w:rPr>
                <w:rFonts w:hint="eastAsia" w:asciiTheme="minorHAnsi" w:hAnsiTheme="minorHAnsi" w:eastAsiaTheme="majorEastAsia" w:cstheme="minorHAnsi"/>
                <w:szCs w:val="21"/>
              </w:rPr>
              <w:t>美元（约合人民币4</w:t>
            </w:r>
            <w:r>
              <w:rPr>
                <w:rFonts w:asciiTheme="minorHAnsi" w:hAnsiTheme="minorHAnsi" w:eastAsiaTheme="majorEastAsia" w:cstheme="minorHAnsi"/>
                <w:szCs w:val="21"/>
              </w:rPr>
              <w:t>.2</w:t>
            </w:r>
            <w:r>
              <w:rPr>
                <w:rFonts w:hint="eastAsia" w:asciiTheme="minorHAnsi" w:hAnsiTheme="minorHAnsi" w:eastAsiaTheme="majorEastAsia" w:cstheme="minorHAnsi"/>
                <w:szCs w:val="21"/>
              </w:rPr>
              <w:t>万元）</w:t>
            </w:r>
          </w:p>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注：以上为预估参考费用，由于加州大学伯克利分校课程的学分数量不同，费用也将存在差异，实际的费用需要参照学生最终的选课情况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2"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570"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申请费、学费、杂费、国际学生服务费、医疗与意外保险、接机、及项目服务费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2"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570"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国际机票、签证费、住宿费与餐费、以及其它个人花费</w:t>
            </w:r>
          </w:p>
        </w:tc>
      </w:tr>
    </w:tbl>
    <w:p>
      <w:pPr>
        <w:widowControl/>
        <w:spacing w:line="360" w:lineRule="auto"/>
        <w:jc w:val="left"/>
        <w:rPr>
          <w:rFonts w:asciiTheme="minorHAnsi" w:hAnsiTheme="minorHAnsi" w:eastAsiaTheme="majorEastAsia" w:cstheme="minorHAnsi"/>
          <w:kern w:val="0"/>
          <w:szCs w:val="21"/>
        </w:rPr>
      </w:pPr>
    </w:p>
    <w:p>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 项目申请</w:t>
      </w:r>
    </w:p>
    <w:p>
      <w:pPr>
        <w:pStyle w:val="16"/>
        <w:numPr>
          <w:ilvl w:val="0"/>
          <w:numId w:val="5"/>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项目名额</w:t>
      </w:r>
    </w:p>
    <w:p>
      <w:pPr>
        <w:widowControl/>
        <w:spacing w:line="360" w:lineRule="auto"/>
        <w:ind w:firstLine="420"/>
        <w:jc w:val="left"/>
        <w:rPr>
          <w:rFonts w:asciiTheme="minorHAnsi" w:hAnsiTheme="minorHAnsi" w:eastAsiaTheme="majorEastAsia" w:cstheme="minorHAnsi"/>
          <w:szCs w:val="21"/>
        </w:rPr>
      </w:pPr>
      <w:r>
        <w:rPr>
          <w:rFonts w:asciiTheme="minorHAnsi" w:hAnsiTheme="minorHAnsi" w:eastAsiaTheme="majorEastAsia" w:cstheme="minorHAnsi"/>
          <w:kern w:val="0"/>
          <w:szCs w:val="21"/>
        </w:rPr>
        <w:t>依据</w:t>
      </w:r>
      <w:r>
        <w:rPr>
          <w:rFonts w:hint="eastAsia" w:asciiTheme="minorHAnsi" w:hAnsiTheme="minorHAnsi" w:eastAsiaTheme="majorEastAsia" w:cstheme="minorHAnsi"/>
          <w:kern w:val="0"/>
          <w:szCs w:val="21"/>
        </w:rPr>
        <w:t>加州大学伯克利分校</w:t>
      </w:r>
      <w:r>
        <w:rPr>
          <w:rFonts w:asciiTheme="minorHAnsi" w:hAnsiTheme="minorHAnsi" w:eastAsiaTheme="majorEastAsia" w:cstheme="minorHAnsi"/>
          <w:kern w:val="0"/>
          <w:szCs w:val="21"/>
        </w:rPr>
        <w:t>的访学学生接收能力</w:t>
      </w:r>
      <w:r>
        <w:rPr>
          <w:rFonts w:hint="eastAsia" w:ascii="Calibri" w:hAnsi="Calibri" w:cs="Calibri"/>
          <w:szCs w:val="21"/>
        </w:rPr>
        <w:t>，我校选拔名额为</w:t>
      </w:r>
      <w:r>
        <w:rPr>
          <w:rFonts w:hint="eastAsia" w:ascii="Calibri" w:hAnsi="Calibri" w:cs="Calibri"/>
          <w:szCs w:val="21"/>
          <w:lang w:val="en-US" w:eastAsia="zh-CN"/>
        </w:rPr>
        <w:t>5</w:t>
      </w:r>
      <w:r>
        <w:rPr>
          <w:rFonts w:hint="eastAsia" w:ascii="Calibri" w:hAnsi="Calibri" w:cs="Calibri"/>
          <w:szCs w:val="21"/>
        </w:rPr>
        <w:t>名。</w:t>
      </w:r>
    </w:p>
    <w:p>
      <w:pPr>
        <w:pStyle w:val="16"/>
        <w:widowControl/>
        <w:numPr>
          <w:ilvl w:val="0"/>
          <w:numId w:val="5"/>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项目申请截止日期</w:t>
      </w:r>
      <w:r>
        <w:rPr>
          <w:rFonts w:hint="eastAsia" w:asciiTheme="minorHAnsi" w:hAnsiTheme="minorHAnsi" w:eastAsiaTheme="majorEastAsia" w:cstheme="minorHAnsi"/>
          <w:kern w:val="0"/>
          <w:szCs w:val="21"/>
        </w:rPr>
        <w:t>：2020年</w:t>
      </w:r>
      <w:r>
        <w:rPr>
          <w:rFonts w:hint="eastAsia" w:asciiTheme="minorHAnsi" w:hAnsiTheme="minorHAnsi" w:eastAsiaTheme="majorEastAsia" w:cstheme="minorHAnsi"/>
          <w:kern w:val="0"/>
          <w:szCs w:val="21"/>
          <w:lang w:val="en-US" w:eastAsia="zh-CN"/>
        </w:rPr>
        <w:t>4</w:t>
      </w:r>
      <w:r>
        <w:rPr>
          <w:rFonts w:hint="eastAsia" w:asciiTheme="minorHAnsi" w:hAnsiTheme="minorHAnsi" w:eastAsiaTheme="majorEastAsia" w:cstheme="minorHAnsi"/>
          <w:kern w:val="0"/>
          <w:szCs w:val="21"/>
        </w:rPr>
        <w:t>月</w:t>
      </w:r>
      <w:r>
        <w:rPr>
          <w:rFonts w:hint="eastAsia" w:asciiTheme="minorHAnsi" w:hAnsiTheme="minorHAnsi" w:eastAsiaTheme="majorEastAsia" w:cstheme="minorHAnsi"/>
          <w:kern w:val="0"/>
          <w:szCs w:val="21"/>
          <w:lang w:val="en-US" w:eastAsia="zh-CN"/>
        </w:rPr>
        <w:t>30</w:t>
      </w:r>
      <w:r>
        <w:rPr>
          <w:rFonts w:hint="eastAsia" w:asciiTheme="minorHAnsi" w:hAnsiTheme="minorHAnsi" w:eastAsiaTheme="majorEastAsia" w:cstheme="minorHAnsi"/>
          <w:kern w:val="0"/>
          <w:szCs w:val="21"/>
        </w:rPr>
        <w:t>日</w:t>
      </w:r>
    </w:p>
    <w:p>
      <w:pPr>
        <w:pStyle w:val="16"/>
        <w:numPr>
          <w:ilvl w:val="0"/>
          <w:numId w:val="5"/>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选拔要求</w:t>
      </w:r>
    </w:p>
    <w:p>
      <w:pPr>
        <w:pStyle w:val="16"/>
        <w:numPr>
          <w:ilvl w:val="0"/>
          <w:numId w:val="6"/>
        </w:numPr>
        <w:spacing w:line="360" w:lineRule="auto"/>
        <w:ind w:firstLineChars="0"/>
        <w:rPr>
          <w:rFonts w:asciiTheme="minorHAnsi" w:hAnsiTheme="minorHAnsi" w:eastAsiaTheme="majorEastAsia" w:cstheme="minorHAnsi"/>
          <w:szCs w:val="21"/>
        </w:rPr>
      </w:pPr>
      <w:r>
        <w:rPr>
          <w:rFonts w:asciiTheme="minorHAnsi" w:hAnsiTheme="minorHAnsi" w:eastAsiaTheme="majorEastAsia" w:cstheme="minorHAnsi"/>
          <w:szCs w:val="21"/>
        </w:rPr>
        <w:t>仅限本校全日制在校生；且成绩优异、道德品质好，在校期间未受过纪律处分，身</w:t>
      </w:r>
    </w:p>
    <w:p>
      <w:pPr>
        <w:pStyle w:val="16"/>
        <w:spacing w:line="360" w:lineRule="auto"/>
        <w:ind w:left="360" w:firstLine="0" w:firstLineChars="0"/>
        <w:rPr>
          <w:rFonts w:asciiTheme="minorHAnsi" w:hAnsiTheme="minorHAnsi" w:eastAsiaTheme="majorEastAsia" w:cstheme="minorHAnsi"/>
          <w:szCs w:val="21"/>
        </w:rPr>
      </w:pPr>
      <w:r>
        <w:rPr>
          <w:rFonts w:asciiTheme="minorHAnsi" w:hAnsiTheme="minorHAnsi" w:eastAsiaTheme="majorEastAsia" w:cstheme="minorHAnsi"/>
          <w:szCs w:val="21"/>
        </w:rPr>
        <w:t>心健康，能顺利完成</w:t>
      </w:r>
      <w:r>
        <w:rPr>
          <w:rFonts w:hint="eastAsia" w:asciiTheme="minorHAnsi" w:hAnsiTheme="minorHAnsi" w:eastAsiaTheme="majorEastAsia" w:cstheme="minorHAnsi"/>
          <w:szCs w:val="21"/>
        </w:rPr>
        <w:t>海外</w:t>
      </w:r>
      <w:r>
        <w:rPr>
          <w:rFonts w:asciiTheme="minorHAnsi" w:hAnsiTheme="minorHAnsi" w:eastAsiaTheme="majorEastAsia" w:cstheme="minorHAnsi"/>
          <w:szCs w:val="21"/>
        </w:rPr>
        <w:t>学习任务；</w:t>
      </w:r>
    </w:p>
    <w:p>
      <w:pPr>
        <w:pStyle w:val="16"/>
        <w:numPr>
          <w:ilvl w:val="0"/>
          <w:numId w:val="6"/>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年龄：学生开课时需已满18岁</w:t>
      </w:r>
    </w:p>
    <w:p>
      <w:pPr>
        <w:pStyle w:val="16"/>
        <w:numPr>
          <w:ilvl w:val="0"/>
          <w:numId w:val="6"/>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语言要求：</w:t>
      </w:r>
      <w:r>
        <w:rPr>
          <w:rFonts w:asciiTheme="minorHAnsi" w:hAnsiTheme="minorHAnsi" w:eastAsiaTheme="majorEastAsia" w:cstheme="minorHAnsi"/>
          <w:szCs w:val="21"/>
        </w:rPr>
        <w:br w:type="textWrapping"/>
      </w:r>
      <w:r>
        <w:rPr>
          <w:rFonts w:hint="eastAsia" w:asciiTheme="minorHAnsi" w:hAnsiTheme="minorHAnsi" w:eastAsiaTheme="majorEastAsia" w:cstheme="minorHAnsi"/>
          <w:szCs w:val="21"/>
        </w:rPr>
        <w:t>大学专业学分课程：英语水平需达到托福80，或雅思6.5，或大学英语四级493，或大学英语六级450；</w:t>
      </w:r>
      <w:r>
        <w:rPr>
          <w:rFonts w:asciiTheme="minorHAnsi" w:hAnsiTheme="minorHAnsi"/>
        </w:rPr>
        <w:br w:type="textWrapping"/>
      </w:r>
      <w:r>
        <w:rPr>
          <w:rFonts w:asciiTheme="minorHAnsi" w:hAnsiTheme="minorHAnsi" w:eastAsiaTheme="majorEastAsia" w:cstheme="minorHAnsi"/>
          <w:szCs w:val="21"/>
        </w:rPr>
        <w:t>暑期英语研习课程</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具有良好的英语基础</w:t>
      </w:r>
      <w:r>
        <w:rPr>
          <w:rFonts w:hint="eastAsia" w:asciiTheme="minorHAnsi" w:hAnsiTheme="minorHAnsi" w:eastAsiaTheme="majorEastAsia" w:cstheme="minorHAnsi"/>
          <w:szCs w:val="21"/>
        </w:rPr>
        <w:t>，入学前参加分级测试；</w:t>
      </w:r>
    </w:p>
    <w:p>
      <w:pPr>
        <w:pStyle w:val="16"/>
        <w:numPr>
          <w:ilvl w:val="0"/>
          <w:numId w:val="6"/>
        </w:numPr>
        <w:spacing w:line="360" w:lineRule="auto"/>
        <w:ind w:firstLineChars="0"/>
        <w:rPr>
          <w:rFonts w:asciiTheme="minorHAnsi" w:hAnsiTheme="minorHAnsi" w:eastAsiaTheme="majorEastAsia" w:cstheme="minorHAnsi"/>
          <w:szCs w:val="21"/>
        </w:rPr>
      </w:pPr>
      <w:r>
        <w:rPr>
          <w:rFonts w:asciiTheme="minorHAnsi" w:hAnsiTheme="minorHAnsi" w:eastAsiaTheme="majorEastAsia" w:cstheme="minorHAnsi"/>
          <w:szCs w:val="21"/>
        </w:rPr>
        <w:t>家庭具有一定经济基础，能够提供访学所需学费及生活费；</w:t>
      </w:r>
    </w:p>
    <w:p>
      <w:pPr>
        <w:pStyle w:val="16"/>
        <w:numPr>
          <w:ilvl w:val="0"/>
          <w:numId w:val="6"/>
        </w:numPr>
        <w:spacing w:line="360" w:lineRule="auto"/>
        <w:ind w:firstLineChars="0"/>
        <w:rPr>
          <w:rFonts w:asciiTheme="minorHAnsi" w:hAnsiTheme="minorHAnsi" w:eastAsiaTheme="majorEastAsia" w:cstheme="minorHAnsi"/>
          <w:szCs w:val="21"/>
        </w:rPr>
      </w:pPr>
      <w:r>
        <w:rPr>
          <w:rFonts w:asciiTheme="minorHAnsi" w:hAnsiTheme="minorHAnsi" w:eastAsiaTheme="majorEastAsia" w:cstheme="minorHAnsi"/>
          <w:szCs w:val="21"/>
        </w:rPr>
        <w:t>通过全美国际教育协会的项目面试、</w:t>
      </w:r>
      <w:r>
        <w:rPr>
          <w:rFonts w:hint="eastAsia" w:asciiTheme="minorHAnsi" w:hAnsiTheme="minorHAnsi" w:eastAsiaTheme="majorEastAsia" w:cstheme="minorHAnsi"/>
          <w:szCs w:val="21"/>
        </w:rPr>
        <w:t>美方</w:t>
      </w:r>
      <w:r>
        <w:rPr>
          <w:rFonts w:asciiTheme="minorHAnsi" w:hAnsiTheme="minorHAnsi" w:eastAsiaTheme="majorEastAsia" w:cstheme="minorHAnsi"/>
          <w:szCs w:val="21"/>
        </w:rPr>
        <w:t>大学的学术审核、以及我校院系及国际交流处的派出资格审核</w:t>
      </w:r>
      <w:r>
        <w:rPr>
          <w:rFonts w:hint="eastAsia" w:asciiTheme="minorHAnsi" w:hAnsiTheme="minorHAnsi" w:eastAsiaTheme="majorEastAsia" w:cstheme="minorHAnsi"/>
          <w:szCs w:val="21"/>
        </w:rPr>
        <w:t>。</w:t>
      </w:r>
    </w:p>
    <w:p>
      <w:pPr>
        <w:pStyle w:val="16"/>
        <w:spacing w:line="360" w:lineRule="auto"/>
        <w:ind w:firstLine="0" w:firstLineChars="0"/>
        <w:rPr>
          <w:rFonts w:asciiTheme="minorHAnsi" w:hAnsiTheme="minorHAnsi" w:eastAsiaTheme="majorEastAsia" w:cstheme="minorHAnsi"/>
          <w:b/>
          <w:kern w:val="0"/>
          <w:szCs w:val="21"/>
        </w:rPr>
      </w:pPr>
    </w:p>
    <w:p>
      <w:pPr>
        <w:pStyle w:val="16"/>
        <w:numPr>
          <w:ilvl w:val="0"/>
          <w:numId w:val="7"/>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项目申请录取方式和报名流程</w:t>
      </w:r>
    </w:p>
    <w:p>
      <w:pPr>
        <w:pStyle w:val="16"/>
        <w:numPr>
          <w:ilvl w:val="0"/>
          <w:numId w:val="8"/>
        </w:numPr>
        <w:spacing w:line="360" w:lineRule="auto"/>
        <w:ind w:firstLineChars="0"/>
        <w:jc w:val="left"/>
        <w:rPr>
          <w:rFonts w:asciiTheme="minorHAnsi" w:hAnsiTheme="minorHAnsi" w:eastAsiaTheme="majorEastAsia" w:cstheme="minorHAnsi"/>
          <w:kern w:val="0"/>
          <w:szCs w:val="21"/>
        </w:rPr>
      </w:pPr>
      <w:r>
        <w:rPr>
          <w:rFonts w:asciiTheme="minorHAnsi" w:hAnsiTheme="minorHAnsi" w:eastAsiaTheme="majorEastAsia" w:cstheme="minorHAnsi"/>
          <w:kern w:val="0"/>
          <w:szCs w:val="21"/>
        </w:rPr>
        <w:t>学生本人提出申请，在学校国际合作交流处（外事处）报名；</w:t>
      </w:r>
    </w:p>
    <w:p>
      <w:pPr>
        <w:pStyle w:val="16"/>
        <w:numPr>
          <w:ilvl w:val="0"/>
          <w:numId w:val="8"/>
        </w:numPr>
        <w:spacing w:line="360" w:lineRule="auto"/>
        <w:ind w:firstLineChars="0"/>
        <w:jc w:val="left"/>
        <w:rPr>
          <w:rFonts w:asciiTheme="minorHAnsi" w:hAnsiTheme="minorHAnsi" w:eastAsiaTheme="majorEastAsia" w:cstheme="minorHAnsi"/>
          <w:kern w:val="0"/>
          <w:szCs w:val="21"/>
        </w:rPr>
      </w:pPr>
      <w:r>
        <w:rPr>
          <w:rFonts w:asciiTheme="minorHAnsi" w:hAnsiTheme="minorHAnsi" w:eastAsiaTheme="majorEastAsia" w:cstheme="minorHAnsi"/>
          <w:szCs w:val="21"/>
        </w:rPr>
        <w:t>同时登录项目选拔管理机构 -- 全美国际教育协会网站</w:t>
      </w:r>
      <w:r>
        <w:fldChar w:fldCharType="begin"/>
      </w:r>
      <w:r>
        <w:instrText xml:space="preserve"> HYPERLINK "http://www.usiea.org" </w:instrText>
      </w:r>
      <w:r>
        <w:fldChar w:fldCharType="separate"/>
      </w:r>
      <w:r>
        <w:rPr>
          <w:rStyle w:val="12"/>
          <w:rFonts w:hint="eastAsia" w:asciiTheme="minorHAnsi" w:hAnsiTheme="minorHAnsi" w:eastAsiaTheme="majorEastAsia" w:cstheme="minorHAnsi"/>
          <w:szCs w:val="21"/>
        </w:rPr>
        <w:t>www.usiea.org</w:t>
      </w:r>
      <w:r>
        <w:rPr>
          <w:rStyle w:val="12"/>
          <w:rFonts w:hint="eastAsia" w:asciiTheme="minorHAnsi" w:hAnsiTheme="minorHAnsi" w:eastAsiaTheme="majorEastAsia" w:cstheme="minorHAnsi"/>
          <w:szCs w:val="21"/>
        </w:rPr>
        <w:fldChar w:fldCharType="end"/>
      </w: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填写《</w:t>
      </w:r>
      <w:r>
        <w:rPr>
          <w:rFonts w:hint="eastAsia" w:asciiTheme="minorHAnsi" w:hAnsiTheme="minorHAnsi" w:eastAsiaTheme="majorEastAsia" w:cstheme="minorHAnsi"/>
          <w:szCs w:val="21"/>
        </w:rPr>
        <w:t>世界</w:t>
      </w:r>
      <w:r>
        <w:rPr>
          <w:rFonts w:asciiTheme="minorHAnsi" w:hAnsiTheme="minorHAnsi" w:eastAsiaTheme="majorEastAsia" w:cstheme="minorHAnsi"/>
          <w:szCs w:val="21"/>
        </w:rPr>
        <w:t>名校访学20</w:t>
      </w:r>
      <w:r>
        <w:rPr>
          <w:rFonts w:hint="eastAsia" w:asciiTheme="minorHAnsi" w:hAnsiTheme="minorHAnsi" w:eastAsiaTheme="majorEastAsia" w:cstheme="minorHAnsi"/>
          <w:szCs w:val="21"/>
        </w:rPr>
        <w:t>20</w:t>
      </w:r>
      <w:r>
        <w:rPr>
          <w:rFonts w:asciiTheme="minorHAnsi" w:hAnsiTheme="minorHAnsi" w:eastAsiaTheme="majorEastAsia" w:cstheme="minorHAnsi"/>
          <w:szCs w:val="21"/>
        </w:rPr>
        <w:t>-20</w:t>
      </w:r>
      <w:r>
        <w:rPr>
          <w:rFonts w:hint="eastAsia" w:asciiTheme="minorHAnsi" w:hAnsiTheme="minorHAnsi" w:eastAsiaTheme="majorEastAsia" w:cstheme="minorHAnsi"/>
          <w:szCs w:val="21"/>
        </w:rPr>
        <w:t>21</w:t>
      </w:r>
      <w:r>
        <w:rPr>
          <w:rFonts w:asciiTheme="minorHAnsi" w:hAnsiTheme="minorHAnsi" w:eastAsiaTheme="majorEastAsia" w:cstheme="minorHAnsi"/>
          <w:szCs w:val="21"/>
        </w:rPr>
        <w:t>学年</w:t>
      </w:r>
      <w:r>
        <w:rPr>
          <w:rFonts w:hint="eastAsia" w:asciiTheme="minorHAnsi" w:hAnsiTheme="minorHAnsi" w:eastAsiaTheme="majorEastAsia" w:cstheme="minorHAnsi"/>
          <w:szCs w:val="21"/>
        </w:rPr>
        <w:t>夏秋</w:t>
      </w:r>
      <w:r>
        <w:rPr>
          <w:rFonts w:asciiTheme="minorHAnsi" w:hAnsiTheme="minorHAnsi" w:eastAsiaTheme="majorEastAsia" w:cstheme="minorHAnsi"/>
          <w:szCs w:val="21"/>
        </w:rPr>
        <w:t>项目报名表》，网上报名的时间决定录取的顺序和安排宿舍的顺序；</w:t>
      </w:r>
    </w:p>
    <w:p>
      <w:pPr>
        <w:pStyle w:val="16"/>
        <w:numPr>
          <w:ilvl w:val="0"/>
          <w:numId w:val="8"/>
        </w:numPr>
        <w:spacing w:line="360" w:lineRule="auto"/>
        <w:ind w:firstLineChars="0"/>
        <w:jc w:val="left"/>
        <w:rPr>
          <w:rFonts w:asciiTheme="minorHAnsi" w:hAnsiTheme="minorHAnsi" w:eastAsiaTheme="majorEastAsia" w:cstheme="minorHAnsi"/>
          <w:kern w:val="0"/>
          <w:szCs w:val="21"/>
        </w:rPr>
      </w:pPr>
      <w:r>
        <w:rPr>
          <w:rFonts w:asciiTheme="minorHAnsi" w:hAnsiTheme="minorHAnsi" w:eastAsiaTheme="majorEastAsia" w:cstheme="minorHAnsi"/>
          <w:szCs w:val="21"/>
        </w:rPr>
        <w:t>学生申请资料经初步审核后，参加面试确定预录取名单；</w:t>
      </w:r>
    </w:p>
    <w:p>
      <w:pPr>
        <w:pStyle w:val="16"/>
        <w:numPr>
          <w:ilvl w:val="0"/>
          <w:numId w:val="8"/>
        </w:numPr>
        <w:spacing w:line="360" w:lineRule="auto"/>
        <w:ind w:firstLineChars="0"/>
        <w:jc w:val="left"/>
        <w:rPr>
          <w:rFonts w:asciiTheme="minorHAnsi" w:hAnsiTheme="minorHAnsi" w:eastAsiaTheme="majorEastAsia" w:cstheme="minorHAnsi"/>
          <w:kern w:val="0"/>
          <w:szCs w:val="21"/>
        </w:rPr>
      </w:pPr>
      <w:r>
        <w:rPr>
          <w:rFonts w:cs="Calibri" w:asciiTheme="minorHAnsi" w:hAnsiTheme="minorHAnsi"/>
          <w:szCs w:val="21"/>
        </w:rPr>
        <w:t>学生提交正式申请材料并缴纳项目费用，获得学校录取及签证后赴</w:t>
      </w:r>
      <w:r>
        <w:rPr>
          <w:rFonts w:hint="eastAsia" w:cs="Calibri" w:asciiTheme="minorHAnsi" w:hAnsiTheme="minorHAnsi"/>
          <w:szCs w:val="21"/>
        </w:rPr>
        <w:t>美</w:t>
      </w:r>
      <w:r>
        <w:rPr>
          <w:rFonts w:cs="Calibri" w:asciiTheme="minorHAnsi" w:hAnsiTheme="minorHAnsi"/>
          <w:szCs w:val="21"/>
        </w:rPr>
        <w:t>学习</w:t>
      </w:r>
      <w:r>
        <w:rPr>
          <w:rFonts w:hint="eastAsia" w:cs="Calibri" w:asciiTheme="minorHAnsi" w:hAnsiTheme="minorHAnsi"/>
          <w:szCs w:val="21"/>
        </w:rPr>
        <w:t>。</w:t>
      </w:r>
    </w:p>
    <w:p>
      <w:pPr>
        <w:pStyle w:val="17"/>
        <w:numPr>
          <w:ilvl w:val="0"/>
          <w:numId w:val="0"/>
        </w:numPr>
        <w:spacing w:line="360" w:lineRule="auto"/>
        <w:ind w:left="210" w:leftChars="0"/>
        <w:jc w:val="left"/>
        <w:rPr>
          <w:rFonts w:ascii="Calibri" w:hAnsi="Calibri" w:cs="Calibri"/>
          <w:color w:val="000000" w:themeColor="text1"/>
          <w:szCs w:val="21"/>
          <w:highlight w:val="none"/>
          <w14:textFill>
            <w14:solidFill>
              <w14:schemeClr w14:val="tx1"/>
            </w14:solidFill>
          </w14:textFill>
        </w:rPr>
      </w:pPr>
      <w:r>
        <w:rPr>
          <w:rFonts w:hint="eastAsia" w:ascii="Calibri" w:hAnsi="Calibri" w:cs="Calibri"/>
          <w:color w:val="000000" w:themeColor="text1"/>
          <w:szCs w:val="21"/>
          <w:highlight w:val="none"/>
          <w:lang w:val="en-US" w:eastAsia="zh-CN"/>
          <w14:textFill>
            <w14:solidFill>
              <w14:schemeClr w14:val="tx1"/>
            </w14:solidFill>
          </w14:textFill>
        </w:rPr>
        <w:t>5）</w:t>
      </w:r>
      <w:r>
        <w:rPr>
          <w:rFonts w:hint="eastAsia" w:ascii="Calibri" w:hAnsi="Calibri" w:cs="Calibri"/>
          <w:color w:val="000000" w:themeColor="text1"/>
          <w:szCs w:val="21"/>
          <w:highlight w:val="none"/>
          <w14:textFill>
            <w14:solidFill>
              <w14:schemeClr w14:val="tx1"/>
            </w14:solidFill>
          </w14:textFill>
        </w:rPr>
        <w:t>咨询电话：</w:t>
      </w:r>
    </w:p>
    <w:p>
      <w:pPr>
        <w:spacing w:line="360" w:lineRule="auto"/>
        <w:ind w:firstLine="211" w:firstLineChars="100"/>
        <w:rPr>
          <w:rFonts w:ascii="宋体" w:hAnsi="宋体" w:cs="宋体"/>
          <w:b/>
          <w:color w:val="000000" w:themeColor="text1"/>
          <w:kern w:val="0"/>
          <w:sz w:val="21"/>
          <w:szCs w:val="21"/>
          <w:highlight w:val="none"/>
          <w14:textFill>
            <w14:solidFill>
              <w14:schemeClr w14:val="tx1"/>
            </w14:solidFill>
          </w14:textFill>
        </w:rPr>
      </w:pPr>
      <w:r>
        <w:rPr>
          <w:rFonts w:hint="eastAsia" w:ascii="宋体" w:hAnsi="宋体" w:cs="宋体"/>
          <w:b/>
          <w:color w:val="000000" w:themeColor="text1"/>
          <w:kern w:val="0"/>
          <w:sz w:val="21"/>
          <w:szCs w:val="21"/>
          <w:highlight w:val="none"/>
          <w14:textFill>
            <w14:solidFill>
              <w14:schemeClr w14:val="tx1"/>
            </w14:solidFill>
          </w14:textFill>
        </w:rPr>
        <w:t xml:space="preserve">国际交流处综合楼707 廖老师 电话：020-84096080 </w:t>
      </w:r>
    </w:p>
    <w:p>
      <w:pPr>
        <w:spacing w:line="360" w:lineRule="auto"/>
        <w:ind w:firstLine="211" w:firstLineChars="100"/>
        <w:rPr>
          <w:rFonts w:hint="eastAsia" w:ascii="宋体" w:hAnsi="宋体" w:cs="宋体"/>
          <w:b/>
          <w:color w:val="000000" w:themeColor="text1"/>
          <w:kern w:val="0"/>
          <w:sz w:val="21"/>
          <w:szCs w:val="21"/>
          <w:highlight w:val="none"/>
          <w14:textFill>
            <w14:solidFill>
              <w14:schemeClr w14:val="tx1"/>
            </w14:solidFill>
          </w14:textFill>
        </w:rPr>
      </w:pPr>
      <w:r>
        <w:rPr>
          <w:rFonts w:hint="eastAsia" w:ascii="宋体" w:hAnsi="宋体" w:cs="宋体"/>
          <w:b/>
          <w:color w:val="000000" w:themeColor="text1"/>
          <w:kern w:val="0"/>
          <w:sz w:val="21"/>
          <w:szCs w:val="21"/>
          <w:highlight w:val="none"/>
          <w14:textFill>
            <w14:solidFill>
              <w14:schemeClr w14:val="tx1"/>
            </w14:solidFill>
          </w14:textFill>
        </w:rPr>
        <w:t xml:space="preserve">全美国际教育协会咨询电话: </w:t>
      </w:r>
    </w:p>
    <w:p>
      <w:pPr>
        <w:spacing w:line="360" w:lineRule="auto"/>
        <w:ind w:firstLine="211" w:firstLineChars="100"/>
        <w:rPr>
          <w:rFonts w:hint="eastAsia" w:ascii="Calibri" w:hAnsi="Calibri" w:cs="Calibri"/>
          <w:b/>
          <w:color w:val="000000" w:themeColor="text1"/>
          <w:kern w:val="0"/>
          <w:sz w:val="21"/>
          <w:szCs w:val="21"/>
          <w:highlight w:val="none"/>
          <w14:textFill>
            <w14:solidFill>
              <w14:schemeClr w14:val="tx1"/>
            </w14:solidFill>
          </w14:textFill>
        </w:rPr>
      </w:pPr>
      <w:r>
        <w:rPr>
          <w:rFonts w:hint="eastAsia" w:ascii="Calibri" w:hAnsi="Calibri" w:cs="Calibri"/>
          <w:b/>
          <w:color w:val="000000" w:themeColor="text1"/>
          <w:kern w:val="0"/>
          <w:sz w:val="21"/>
          <w:szCs w:val="21"/>
          <w:highlight w:val="none"/>
          <w:lang w:val="en-US" w:eastAsia="zh-CN"/>
          <w14:textFill>
            <w14:solidFill>
              <w14:schemeClr w14:val="tx1"/>
            </w14:solidFill>
          </w14:textFill>
        </w:rPr>
        <w:t>曾老师</w:t>
      </w:r>
      <w:r>
        <w:rPr>
          <w:rFonts w:hint="eastAsia" w:ascii="Calibri" w:hAnsi="Calibri" w:cs="Calibri"/>
          <w:b/>
          <w:color w:val="000000" w:themeColor="text1"/>
          <w:kern w:val="0"/>
          <w:sz w:val="21"/>
          <w:szCs w:val="21"/>
          <w:highlight w:val="none"/>
          <w14:textFill>
            <w14:solidFill>
              <w14:schemeClr w14:val="tx1"/>
            </w14:solidFill>
          </w14:textFill>
        </w:rPr>
        <w:t xml:space="preserve">189 2278 0945（微信同，周一至周五 </w:t>
      </w:r>
      <w:r>
        <w:rPr>
          <w:rFonts w:hint="eastAsia" w:ascii="Calibri" w:hAnsi="Calibri" w:cs="Calibri"/>
          <w:b/>
          <w:color w:val="000000" w:themeColor="text1"/>
          <w:kern w:val="0"/>
          <w:sz w:val="21"/>
          <w:szCs w:val="21"/>
          <w:highlight w:val="none"/>
          <w:lang w:val="en-US" w:eastAsia="zh-CN"/>
          <w14:textFill>
            <w14:solidFill>
              <w14:schemeClr w14:val="tx1"/>
            </w14:solidFill>
          </w14:textFill>
        </w:rPr>
        <w:t>9:00</w:t>
      </w:r>
      <w:r>
        <w:rPr>
          <w:rFonts w:hint="eastAsia" w:ascii="Calibri" w:hAnsi="Calibri" w:cs="Calibri"/>
          <w:b/>
          <w:color w:val="000000" w:themeColor="text1"/>
          <w:kern w:val="0"/>
          <w:sz w:val="21"/>
          <w:szCs w:val="21"/>
          <w:highlight w:val="none"/>
          <w14:textFill>
            <w14:solidFill>
              <w14:schemeClr w14:val="tx1"/>
            </w14:solidFill>
          </w14:textFill>
        </w:rPr>
        <w:t>—1</w:t>
      </w:r>
      <w:r>
        <w:rPr>
          <w:rFonts w:hint="eastAsia" w:ascii="Calibri" w:hAnsi="Calibri" w:cs="Calibri"/>
          <w:b/>
          <w:color w:val="000000" w:themeColor="text1"/>
          <w:kern w:val="0"/>
          <w:sz w:val="21"/>
          <w:szCs w:val="21"/>
          <w:highlight w:val="none"/>
          <w:lang w:val="en-US" w:eastAsia="zh-CN"/>
          <w14:textFill>
            <w14:solidFill>
              <w14:schemeClr w14:val="tx1"/>
            </w14:solidFill>
          </w14:textFill>
        </w:rPr>
        <w:t>8:00</w:t>
      </w:r>
      <w:r>
        <w:rPr>
          <w:rFonts w:hint="eastAsia" w:ascii="Calibri" w:hAnsi="Calibri" w:cs="Calibri"/>
          <w:b/>
          <w:color w:val="000000" w:themeColor="text1"/>
          <w:kern w:val="0"/>
          <w:sz w:val="21"/>
          <w:szCs w:val="21"/>
          <w:highlight w:val="none"/>
          <w14:textFill>
            <w14:solidFill>
              <w14:schemeClr w14:val="tx1"/>
            </w14:solidFill>
          </w14:textFill>
        </w:rPr>
        <w:t>）</w:t>
      </w:r>
    </w:p>
    <w:p>
      <w:pPr>
        <w:spacing w:line="360" w:lineRule="auto"/>
        <w:ind w:firstLine="211" w:firstLineChars="100"/>
        <w:rPr>
          <w:rFonts w:asciiTheme="minorHAnsi" w:hAnsiTheme="minorHAnsi" w:eastAsiaTheme="majorEastAsia" w:cstheme="minorHAnsi"/>
          <w:sz w:val="21"/>
          <w:szCs w:val="21"/>
        </w:rPr>
      </w:pPr>
      <w:r>
        <w:rPr>
          <w:rFonts w:hint="eastAsia" w:ascii="Calibri" w:hAnsi="Calibri" w:cs="Calibri"/>
          <w:b/>
          <w:color w:val="000000" w:themeColor="text1"/>
          <w:kern w:val="0"/>
          <w:sz w:val="21"/>
          <w:szCs w:val="21"/>
          <w:highlight w:val="none"/>
          <w:lang w:val="en-US" w:eastAsia="zh-CN"/>
          <w14:textFill>
            <w14:solidFill>
              <w14:schemeClr w14:val="tx1"/>
            </w14:solidFill>
          </w14:textFill>
        </w:rPr>
        <w:t>朱老师 138 2976 1018</w:t>
      </w:r>
      <w:r>
        <w:rPr>
          <w:rFonts w:hint="eastAsia" w:ascii="Calibri" w:hAnsi="Calibri" w:cs="Calibri"/>
          <w:b/>
          <w:color w:val="000000" w:themeColor="text1"/>
          <w:kern w:val="0"/>
          <w:sz w:val="21"/>
          <w:szCs w:val="21"/>
          <w:highlight w:val="none"/>
          <w14:textFill>
            <w14:solidFill>
              <w14:schemeClr w14:val="tx1"/>
            </w14:solidFill>
          </w14:textFill>
        </w:rPr>
        <w:t xml:space="preserve">（微信同，周一至周五 </w:t>
      </w:r>
      <w:r>
        <w:rPr>
          <w:rFonts w:hint="eastAsia" w:ascii="Calibri" w:hAnsi="Calibri" w:cs="Calibri"/>
          <w:b/>
          <w:color w:val="000000" w:themeColor="text1"/>
          <w:kern w:val="0"/>
          <w:sz w:val="21"/>
          <w:szCs w:val="21"/>
          <w:highlight w:val="none"/>
          <w:lang w:val="en-US" w:eastAsia="zh-CN"/>
          <w14:textFill>
            <w14:solidFill>
              <w14:schemeClr w14:val="tx1"/>
            </w14:solidFill>
          </w14:textFill>
        </w:rPr>
        <w:t>9:00</w:t>
      </w:r>
      <w:r>
        <w:rPr>
          <w:rFonts w:hint="eastAsia" w:ascii="Calibri" w:hAnsi="Calibri" w:cs="Calibri"/>
          <w:b/>
          <w:color w:val="000000" w:themeColor="text1"/>
          <w:kern w:val="0"/>
          <w:sz w:val="21"/>
          <w:szCs w:val="21"/>
          <w:highlight w:val="none"/>
          <w14:textFill>
            <w14:solidFill>
              <w14:schemeClr w14:val="tx1"/>
            </w14:solidFill>
          </w14:textFill>
        </w:rPr>
        <w:t>—1</w:t>
      </w:r>
      <w:r>
        <w:rPr>
          <w:rFonts w:hint="eastAsia" w:ascii="Calibri" w:hAnsi="Calibri" w:cs="Calibri"/>
          <w:b/>
          <w:color w:val="000000" w:themeColor="text1"/>
          <w:kern w:val="0"/>
          <w:sz w:val="21"/>
          <w:szCs w:val="21"/>
          <w:highlight w:val="none"/>
          <w:lang w:val="en-US" w:eastAsia="zh-CN"/>
          <w14:textFill>
            <w14:solidFill>
              <w14:schemeClr w14:val="tx1"/>
            </w14:solidFill>
          </w14:textFill>
        </w:rPr>
        <w:t>8:00</w:t>
      </w:r>
      <w:r>
        <w:rPr>
          <w:rFonts w:hint="eastAsia" w:ascii="Calibri" w:hAnsi="Calibri" w:cs="Calibri"/>
          <w:b/>
          <w:color w:val="000000" w:themeColor="text1"/>
          <w:kern w:val="0"/>
          <w:sz w:val="21"/>
          <w:szCs w:val="21"/>
          <w:highlight w:val="none"/>
          <w14:textFill>
            <w14:solidFill>
              <w14:schemeClr w14:val="tx1"/>
            </w14:solidFill>
          </w14:textFill>
        </w:rPr>
        <w:t>）</w:t>
      </w:r>
    </w:p>
    <w:p>
      <w:pPr>
        <w:widowControl/>
        <w:spacing w:line="360" w:lineRule="auto"/>
        <w:jc w:val="left"/>
        <w:rPr>
          <w:rStyle w:val="12"/>
          <w:rFonts w:cs="宋体" w:asciiTheme="minorHAnsi" w:hAnsiTheme="minorHAnsi"/>
          <w:color w:val="auto"/>
          <w:kern w:val="0"/>
          <w:szCs w:val="21"/>
        </w:rPr>
      </w:pPr>
      <w:r>
        <w:rPr>
          <w:rStyle w:val="12"/>
          <w:rFonts w:hint="eastAsia" w:cs="宋体" w:asciiTheme="minorHAnsi" w:hAnsiTheme="minorHAnsi"/>
          <w:color w:val="auto"/>
          <w:kern w:val="0"/>
          <w:szCs w:val="21"/>
        </w:rPr>
        <w:t>——————————————————————————————————————</w:t>
      </w:r>
    </w:p>
    <w:p>
      <w:pPr>
        <w:widowControl/>
        <w:jc w:val="left"/>
        <w:rPr>
          <w:rStyle w:val="12"/>
          <w:rFonts w:cs="宋体" w:asciiTheme="minorHAnsi" w:hAnsiTheme="minorHAnsi"/>
          <w:b/>
          <w:color w:val="auto"/>
          <w:kern w:val="0"/>
          <w:sz w:val="20"/>
          <w:szCs w:val="21"/>
        </w:rPr>
      </w:pPr>
      <w:r>
        <w:rPr>
          <w:rStyle w:val="12"/>
          <w:rFonts w:hint="eastAsia" w:cs="宋体" w:asciiTheme="minorHAnsi" w:hAnsiTheme="minorHAnsi"/>
          <w:b/>
          <w:color w:val="auto"/>
          <w:kern w:val="0"/>
          <w:sz w:val="20"/>
          <w:szCs w:val="21"/>
        </w:rPr>
        <w:t>关于全美国际教育协会</w:t>
      </w:r>
    </w:p>
    <w:p>
      <w:pPr>
        <w:widowControl/>
        <w:jc w:val="left"/>
        <w:rPr>
          <w:rStyle w:val="12"/>
          <w:rFonts w:cs="宋体" w:asciiTheme="minorHAnsi" w:hAnsiTheme="minorHAnsi"/>
          <w:b/>
          <w:kern w:val="0"/>
          <w:sz w:val="20"/>
          <w:szCs w:val="21"/>
        </w:rPr>
      </w:pPr>
      <w:r>
        <w:fldChar w:fldCharType="begin"/>
      </w:r>
      <w:r>
        <w:instrText xml:space="preserve"> HYPERLINK "http://www.usiea.org" </w:instrText>
      </w:r>
      <w:r>
        <w:fldChar w:fldCharType="separate"/>
      </w:r>
      <w:r>
        <w:rPr>
          <w:rStyle w:val="12"/>
          <w:rFonts w:hint="eastAsia" w:cs="宋体" w:asciiTheme="minorHAnsi" w:hAnsiTheme="minorHAnsi"/>
          <w:b/>
          <w:kern w:val="0"/>
          <w:sz w:val="20"/>
          <w:szCs w:val="21"/>
        </w:rPr>
        <w:t>www.usiea.org</w:t>
      </w:r>
      <w:r>
        <w:rPr>
          <w:rStyle w:val="12"/>
          <w:rFonts w:hint="eastAsia" w:cs="宋体" w:asciiTheme="minorHAnsi" w:hAnsiTheme="minorHAnsi"/>
          <w:b/>
          <w:kern w:val="0"/>
          <w:sz w:val="20"/>
          <w:szCs w:val="21"/>
        </w:rPr>
        <w:fldChar w:fldCharType="end"/>
      </w:r>
    </w:p>
    <w:p>
      <w:pPr>
        <w:widowControl/>
        <w:jc w:val="left"/>
        <w:rPr>
          <w:rStyle w:val="12"/>
          <w:rFonts w:cs="宋体" w:asciiTheme="minorHAnsi" w:hAnsiTheme="minorHAnsi"/>
          <w:b/>
          <w:color w:val="auto"/>
          <w:kern w:val="0"/>
          <w:sz w:val="20"/>
          <w:szCs w:val="21"/>
        </w:rPr>
      </w:pPr>
      <w:bookmarkStart w:id="0" w:name="_GoBack"/>
      <w:bookmarkEnd w:id="0"/>
    </w:p>
    <w:p>
      <w:pPr>
        <w:widowControl/>
        <w:jc w:val="left"/>
        <w:rPr>
          <w:rStyle w:val="12"/>
          <w:rFonts w:cs="宋体" w:asciiTheme="minorHAnsi" w:hAnsiTheme="minorHAnsi"/>
          <w:kern w:val="0"/>
          <w:sz w:val="20"/>
          <w:szCs w:val="21"/>
        </w:rPr>
      </w:pPr>
      <w:r>
        <w:rPr>
          <w:rStyle w:val="12"/>
          <w:rFonts w:hint="eastAsia" w:cs="宋体" w:asciiTheme="minorHAnsi" w:hAnsiTheme="minorHAnsi"/>
          <w:color w:val="auto"/>
          <w:kern w:val="0"/>
          <w:sz w:val="20"/>
          <w:szCs w:val="21"/>
        </w:rPr>
        <w:t>US International Education Association全美国际教育协会是在美国注册的非营利机构，旨在通过与中外高校的合作，为每一位大学生提供高品质的世界名校访学机会，共同培养具备全球胜任力的优秀大学生，促进不同文化间的沟通、理解与合作。</w:t>
      </w:r>
    </w:p>
    <w:p>
      <w:pPr>
        <w:widowControl/>
        <w:jc w:val="left"/>
        <w:rPr>
          <w:rFonts w:cs="宋体" w:asciiTheme="minorHAnsi" w:hAnsiTheme="minorHAnsi"/>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全美国际教育协会受美国宾夕法尼亚大学、哥伦比亚大学、波士顿大学、威斯康星大学麦迪逊分校、加州大学伯克利分校、加州大学圣地亚哥分校、加州大学河滨分校、英国剑桥大学、伦敦政治经济学院、加拿大多伦多大学、麦吉尔大学、英属哥伦比亚大学、澳大利亚昆士兰大学、新南威尔士大学、阿德莱德大学等20多所世界级名校的委托，与中国80多所高校合作选拔品学兼优的学生赴海外参加访学项目。</w:t>
      </w:r>
    </w:p>
    <w:p>
      <w:pPr>
        <w:widowControl/>
        <w:jc w:val="left"/>
        <w:rPr>
          <w:rFonts w:cs="宋体" w:asciiTheme="minorHAnsi" w:hAnsiTheme="minorHAnsi"/>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全美国际教育协会在北京、南京、杭州、广州、西安、成都、郑州设有办公室，为中国合作高校和学生提供与访学项目相关的全流程服务。</w:t>
      </w:r>
    </w:p>
    <w:p>
      <w:pPr>
        <w:spacing w:line="360" w:lineRule="auto"/>
        <w:ind w:left="360"/>
        <w:rPr>
          <w:rFonts w:asciiTheme="minorHAnsi" w:hAnsiTheme="minorHAnsi" w:eastAsiaTheme="majorEastAsia" w:cstheme="minorHAnsi"/>
          <w:szCs w:val="21"/>
        </w:rPr>
      </w:pPr>
    </w:p>
    <w:p>
      <w:pPr>
        <w:spacing w:line="360" w:lineRule="auto"/>
        <w:rPr>
          <w:rFonts w:cs="Calibri" w:asciiTheme="minorHAnsi" w:hAnsiTheme="minorHAnsi"/>
          <w:kern w:val="0"/>
          <w:sz w:val="22"/>
        </w:rPr>
      </w:pPr>
      <w:r>
        <w:rPr>
          <w:rFonts w:cs="宋体" w:asciiTheme="minorHAnsi" w:hAnsiTheme="minorHAnsi"/>
          <w:kern w:val="0"/>
          <w:sz w:val="2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 w:val="22"/>
        </w:rPr>
        <w:t>www.usiea.org</w:t>
      </w:r>
      <w:r>
        <w:rPr>
          <w:rFonts w:cs="Calibri" w:asciiTheme="minorHAnsi" w:hAnsiTheme="minorHAnsi"/>
          <w:color w:val="0068B7"/>
          <w:kern w:val="0"/>
          <w:sz w:val="22"/>
        </w:rPr>
        <w:fldChar w:fldCharType="end"/>
      </w:r>
      <w:r>
        <w:rPr>
          <w:rFonts w:cs="Calibri" w:asciiTheme="minorHAnsi" w:hAnsiTheme="minorHAnsi"/>
          <w:kern w:val="0"/>
          <w:sz w:val="22"/>
        </w:rPr>
        <w:t xml:space="preserve"> </w:t>
      </w:r>
    </w:p>
    <w:p>
      <w:pPr>
        <w:spacing w:line="360" w:lineRule="auto"/>
        <w:rPr>
          <w:rFonts w:cs="宋体" w:asciiTheme="minorHAnsi" w:hAnsiTheme="minorHAnsi"/>
          <w:kern w:val="0"/>
          <w:sz w:val="20"/>
          <w:szCs w:val="21"/>
        </w:rPr>
      </w:pPr>
      <w:r>
        <w:rPr>
          <w:rFonts w:cs="宋体" w:asciiTheme="minorHAnsi" w:hAnsiTheme="minorHAnsi"/>
          <w:kern w:val="0"/>
          <w:sz w:val="20"/>
          <w:szCs w:val="21"/>
        </w:rPr>
        <w:t>全美国际教育协会官微：全美国际访学微刊</w:t>
      </w:r>
    </w:p>
    <w:p>
      <w:pPr>
        <w:spacing w:line="360" w:lineRule="auto"/>
        <w:jc w:val="left"/>
        <w:rPr>
          <w:rFonts w:asciiTheme="minorHAnsi" w:hAnsiTheme="minorHAnsi" w:eastAsiaTheme="majorEastAsia" w:cstheme="minorHAnsi"/>
          <w:szCs w:val="21"/>
        </w:rPr>
      </w:pPr>
      <w:r>
        <w:rPr>
          <w:rFonts w:cs="宋体" w:asciiTheme="minorHAnsi" w:hAnsiTheme="minorHAnsi"/>
          <w:kern w:val="0"/>
          <w:sz w:val="20"/>
          <w:szCs w:val="21"/>
        </w:rPr>
        <w:t>项目邮箱咨询：</w:t>
      </w:r>
      <w:r>
        <w:fldChar w:fldCharType="begin"/>
      </w:r>
      <w:r>
        <w:instrText xml:space="preserve"> HYPERLINK "mailto:visitucb@yeah.net" </w:instrText>
      </w:r>
      <w:r>
        <w:fldChar w:fldCharType="separate"/>
      </w:r>
      <w:r>
        <w:rPr>
          <w:rStyle w:val="12"/>
          <w:rFonts w:asciiTheme="minorHAnsi" w:hAnsiTheme="minorHAnsi"/>
        </w:rPr>
        <w:t>visitucb@yeah.net</w:t>
      </w:r>
      <w:r>
        <w:rPr>
          <w:rStyle w:val="12"/>
          <w:rFonts w:asciiTheme="minorHAnsi" w:hAnsiTheme="minorHAnsi"/>
        </w:rPr>
        <w:fldChar w:fldCharType="end"/>
      </w:r>
      <w:r>
        <w:rPr>
          <w:rStyle w:val="12"/>
          <w:rFonts w:asciiTheme="minorHAnsi" w:hAnsiTheme="minorHAnsi"/>
        </w:rPr>
        <w:t xml:space="preserve"> </w:t>
      </w:r>
      <w:r>
        <w:rPr>
          <w:rFonts w:asciiTheme="minorHAnsi" w:hAnsiTheme="minorHAnsi"/>
        </w:rPr>
        <w:t xml:space="preserve"> </w:t>
      </w: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eorgia">
    <w:panose1 w:val="02040502050405020303"/>
    <w:charset w:val="00"/>
    <w:family w:val="roman"/>
    <w:pitch w:val="default"/>
    <w:sig w:usb0="00000287" w:usb1="00000000" w:usb2="00000000" w:usb3="00000000" w:csb0="200000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91C33"/>
    <w:multiLevelType w:val="multilevel"/>
    <w:tmpl w:val="00E91C33"/>
    <w:lvl w:ilvl="0" w:tentative="0">
      <w:start w:val="1"/>
      <w:numFmt w:val="japaneseCounting"/>
      <w:lvlText w:val="%1、"/>
      <w:lvlJc w:val="left"/>
      <w:pPr>
        <w:ind w:left="440" w:hanging="4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8125196"/>
    <w:multiLevelType w:val="multilevel"/>
    <w:tmpl w:val="08125196"/>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13931E04"/>
    <w:multiLevelType w:val="multilevel"/>
    <w:tmpl w:val="13931E0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3">
    <w:nsid w:val="1FCA2FC4"/>
    <w:multiLevelType w:val="multilevel"/>
    <w:tmpl w:val="1FCA2FC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4">
    <w:nsid w:val="35BC227D"/>
    <w:multiLevelType w:val="multilevel"/>
    <w:tmpl w:val="35BC227D"/>
    <w:lvl w:ilvl="0" w:tentative="0">
      <w:start w:val="4"/>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2AD6B20"/>
    <w:multiLevelType w:val="multilevel"/>
    <w:tmpl w:val="52AD6B20"/>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6">
    <w:nsid w:val="6D50662A"/>
    <w:multiLevelType w:val="multilevel"/>
    <w:tmpl w:val="6D50662A"/>
    <w:lvl w:ilvl="0" w:tentative="0">
      <w:start w:val="1"/>
      <w:numFmt w:val="decimal"/>
      <w:lvlText w:val="%1)"/>
      <w:lvlJc w:val="left"/>
      <w:pPr>
        <w:ind w:left="630" w:hanging="420"/>
      </w:p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7">
    <w:nsid w:val="77F013D8"/>
    <w:multiLevelType w:val="multilevel"/>
    <w:tmpl w:val="77F013D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3"/>
  </w:num>
  <w:num w:numId="3">
    <w:abstractNumId w:val="2"/>
  </w:num>
  <w:num w:numId="4">
    <w:abstractNumId w:val="5"/>
  </w:num>
  <w:num w:numId="5">
    <w:abstractNumId w:val="7"/>
  </w:num>
  <w:num w:numId="6">
    <w:abstractNumId w:val="1"/>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A8F"/>
    <w:rsid w:val="000035D7"/>
    <w:rsid w:val="00010F31"/>
    <w:rsid w:val="00014FA8"/>
    <w:rsid w:val="000169DD"/>
    <w:rsid w:val="00022AFD"/>
    <w:rsid w:val="000230BD"/>
    <w:rsid w:val="00023476"/>
    <w:rsid w:val="000236D2"/>
    <w:rsid w:val="00024A32"/>
    <w:rsid w:val="00024C64"/>
    <w:rsid w:val="00025022"/>
    <w:rsid w:val="00025028"/>
    <w:rsid w:val="00025206"/>
    <w:rsid w:val="0003068E"/>
    <w:rsid w:val="00030A02"/>
    <w:rsid w:val="00031403"/>
    <w:rsid w:val="000362BD"/>
    <w:rsid w:val="000402B0"/>
    <w:rsid w:val="00041148"/>
    <w:rsid w:val="00041BDA"/>
    <w:rsid w:val="00046229"/>
    <w:rsid w:val="00047E4D"/>
    <w:rsid w:val="0005094B"/>
    <w:rsid w:val="000519A2"/>
    <w:rsid w:val="00051C6A"/>
    <w:rsid w:val="00051F18"/>
    <w:rsid w:val="00052B6D"/>
    <w:rsid w:val="0005389A"/>
    <w:rsid w:val="0006181E"/>
    <w:rsid w:val="00064CA4"/>
    <w:rsid w:val="00065242"/>
    <w:rsid w:val="000820F9"/>
    <w:rsid w:val="000845C3"/>
    <w:rsid w:val="0009206E"/>
    <w:rsid w:val="000954F4"/>
    <w:rsid w:val="000A0A86"/>
    <w:rsid w:val="000A2A22"/>
    <w:rsid w:val="000A4030"/>
    <w:rsid w:val="000A5251"/>
    <w:rsid w:val="000A6CE8"/>
    <w:rsid w:val="000B1A29"/>
    <w:rsid w:val="000C2A5A"/>
    <w:rsid w:val="000C2F7C"/>
    <w:rsid w:val="000C3F5B"/>
    <w:rsid w:val="000C4E56"/>
    <w:rsid w:val="000C5C18"/>
    <w:rsid w:val="000C7F9A"/>
    <w:rsid w:val="000E0D65"/>
    <w:rsid w:val="000E1209"/>
    <w:rsid w:val="000F168E"/>
    <w:rsid w:val="000F6E7C"/>
    <w:rsid w:val="001013E1"/>
    <w:rsid w:val="0010196F"/>
    <w:rsid w:val="001051AF"/>
    <w:rsid w:val="00106BA3"/>
    <w:rsid w:val="00107AEF"/>
    <w:rsid w:val="00110B1F"/>
    <w:rsid w:val="00110EDA"/>
    <w:rsid w:val="0011231F"/>
    <w:rsid w:val="00112EFC"/>
    <w:rsid w:val="001131EA"/>
    <w:rsid w:val="00116EF3"/>
    <w:rsid w:val="00120A5E"/>
    <w:rsid w:val="0012340B"/>
    <w:rsid w:val="0012488E"/>
    <w:rsid w:val="00124B0D"/>
    <w:rsid w:val="00125024"/>
    <w:rsid w:val="00127FE8"/>
    <w:rsid w:val="00131D30"/>
    <w:rsid w:val="00134011"/>
    <w:rsid w:val="00135DEF"/>
    <w:rsid w:val="00135F93"/>
    <w:rsid w:val="001361BA"/>
    <w:rsid w:val="0013737E"/>
    <w:rsid w:val="00137744"/>
    <w:rsid w:val="00142B17"/>
    <w:rsid w:val="00143294"/>
    <w:rsid w:val="00146AB9"/>
    <w:rsid w:val="00160B9E"/>
    <w:rsid w:val="001668E7"/>
    <w:rsid w:val="00167799"/>
    <w:rsid w:val="00170451"/>
    <w:rsid w:val="001738F0"/>
    <w:rsid w:val="00176B88"/>
    <w:rsid w:val="00176F21"/>
    <w:rsid w:val="00182E04"/>
    <w:rsid w:val="001834A2"/>
    <w:rsid w:val="001839FD"/>
    <w:rsid w:val="001845C2"/>
    <w:rsid w:val="00186190"/>
    <w:rsid w:val="00192C0F"/>
    <w:rsid w:val="001A0C7A"/>
    <w:rsid w:val="001A281F"/>
    <w:rsid w:val="001A7D56"/>
    <w:rsid w:val="001B1730"/>
    <w:rsid w:val="001C1A51"/>
    <w:rsid w:val="001C6985"/>
    <w:rsid w:val="001D4042"/>
    <w:rsid w:val="001D4EF4"/>
    <w:rsid w:val="001E31D7"/>
    <w:rsid w:val="001E5D98"/>
    <w:rsid w:val="001F5524"/>
    <w:rsid w:val="00202030"/>
    <w:rsid w:val="00203BFF"/>
    <w:rsid w:val="002133F2"/>
    <w:rsid w:val="002150CA"/>
    <w:rsid w:val="0021711E"/>
    <w:rsid w:val="00220E2D"/>
    <w:rsid w:val="002211FB"/>
    <w:rsid w:val="0022214B"/>
    <w:rsid w:val="002274D9"/>
    <w:rsid w:val="0023241C"/>
    <w:rsid w:val="002441C6"/>
    <w:rsid w:val="002449A1"/>
    <w:rsid w:val="00251642"/>
    <w:rsid w:val="00255140"/>
    <w:rsid w:val="00261406"/>
    <w:rsid w:val="00261C11"/>
    <w:rsid w:val="00271BCB"/>
    <w:rsid w:val="00275270"/>
    <w:rsid w:val="0028056A"/>
    <w:rsid w:val="002852EE"/>
    <w:rsid w:val="0029179F"/>
    <w:rsid w:val="00292326"/>
    <w:rsid w:val="00295361"/>
    <w:rsid w:val="00296348"/>
    <w:rsid w:val="00297E1A"/>
    <w:rsid w:val="002A402F"/>
    <w:rsid w:val="002B269F"/>
    <w:rsid w:val="002B61DD"/>
    <w:rsid w:val="002B7076"/>
    <w:rsid w:val="002C2028"/>
    <w:rsid w:val="002C229B"/>
    <w:rsid w:val="002C27D4"/>
    <w:rsid w:val="002C6AEB"/>
    <w:rsid w:val="002C722D"/>
    <w:rsid w:val="002D04D0"/>
    <w:rsid w:val="002D76B2"/>
    <w:rsid w:val="002E1476"/>
    <w:rsid w:val="002E3299"/>
    <w:rsid w:val="002E4985"/>
    <w:rsid w:val="002E64CC"/>
    <w:rsid w:val="002F1A53"/>
    <w:rsid w:val="002F3568"/>
    <w:rsid w:val="002F3A45"/>
    <w:rsid w:val="002F7AB9"/>
    <w:rsid w:val="0030157A"/>
    <w:rsid w:val="00302995"/>
    <w:rsid w:val="003039E1"/>
    <w:rsid w:val="00303D3D"/>
    <w:rsid w:val="0031712B"/>
    <w:rsid w:val="0032092A"/>
    <w:rsid w:val="00321717"/>
    <w:rsid w:val="00321D5F"/>
    <w:rsid w:val="00333C15"/>
    <w:rsid w:val="00342D9D"/>
    <w:rsid w:val="00342E7E"/>
    <w:rsid w:val="003507AC"/>
    <w:rsid w:val="003541E5"/>
    <w:rsid w:val="00360EC7"/>
    <w:rsid w:val="00360F09"/>
    <w:rsid w:val="00364A0C"/>
    <w:rsid w:val="003738EA"/>
    <w:rsid w:val="00375491"/>
    <w:rsid w:val="003822A8"/>
    <w:rsid w:val="00383DCC"/>
    <w:rsid w:val="00386A4E"/>
    <w:rsid w:val="00386C51"/>
    <w:rsid w:val="00387362"/>
    <w:rsid w:val="00390FCA"/>
    <w:rsid w:val="00394A95"/>
    <w:rsid w:val="00396306"/>
    <w:rsid w:val="00397742"/>
    <w:rsid w:val="003A6BB9"/>
    <w:rsid w:val="003B13FB"/>
    <w:rsid w:val="003B4151"/>
    <w:rsid w:val="003B669C"/>
    <w:rsid w:val="003B786E"/>
    <w:rsid w:val="003B78DD"/>
    <w:rsid w:val="003C6EF7"/>
    <w:rsid w:val="003D0F7B"/>
    <w:rsid w:val="003D0FE9"/>
    <w:rsid w:val="003D2BCE"/>
    <w:rsid w:val="003D4037"/>
    <w:rsid w:val="003D4529"/>
    <w:rsid w:val="003D4B46"/>
    <w:rsid w:val="003D5F48"/>
    <w:rsid w:val="003E01B3"/>
    <w:rsid w:val="003E3199"/>
    <w:rsid w:val="003F050A"/>
    <w:rsid w:val="003F059B"/>
    <w:rsid w:val="003F50D1"/>
    <w:rsid w:val="003F5F88"/>
    <w:rsid w:val="003F6107"/>
    <w:rsid w:val="004017A6"/>
    <w:rsid w:val="00405EAC"/>
    <w:rsid w:val="00411E08"/>
    <w:rsid w:val="0041273F"/>
    <w:rsid w:val="004135C9"/>
    <w:rsid w:val="004221BF"/>
    <w:rsid w:val="00426325"/>
    <w:rsid w:val="00437A33"/>
    <w:rsid w:val="00445AC8"/>
    <w:rsid w:val="004469A3"/>
    <w:rsid w:val="0045270B"/>
    <w:rsid w:val="00454C45"/>
    <w:rsid w:val="004624BE"/>
    <w:rsid w:val="00465A92"/>
    <w:rsid w:val="0046618C"/>
    <w:rsid w:val="004679CE"/>
    <w:rsid w:val="00470270"/>
    <w:rsid w:val="00471CBF"/>
    <w:rsid w:val="00472D99"/>
    <w:rsid w:val="00485AD1"/>
    <w:rsid w:val="004869CF"/>
    <w:rsid w:val="004932B6"/>
    <w:rsid w:val="004946E0"/>
    <w:rsid w:val="004955A6"/>
    <w:rsid w:val="00495E6D"/>
    <w:rsid w:val="004A1602"/>
    <w:rsid w:val="004A51A8"/>
    <w:rsid w:val="004B4D89"/>
    <w:rsid w:val="004B516E"/>
    <w:rsid w:val="004C0E26"/>
    <w:rsid w:val="004C343D"/>
    <w:rsid w:val="004C5277"/>
    <w:rsid w:val="004C6632"/>
    <w:rsid w:val="004D2090"/>
    <w:rsid w:val="004D3884"/>
    <w:rsid w:val="004D5BBA"/>
    <w:rsid w:val="004E0748"/>
    <w:rsid w:val="004E728E"/>
    <w:rsid w:val="004F0AAB"/>
    <w:rsid w:val="004F743F"/>
    <w:rsid w:val="004F7C1B"/>
    <w:rsid w:val="00500A8F"/>
    <w:rsid w:val="00503083"/>
    <w:rsid w:val="00504C25"/>
    <w:rsid w:val="005059BC"/>
    <w:rsid w:val="005060F9"/>
    <w:rsid w:val="0051106C"/>
    <w:rsid w:val="00512BAE"/>
    <w:rsid w:val="00520C0E"/>
    <w:rsid w:val="00522EAE"/>
    <w:rsid w:val="005250F2"/>
    <w:rsid w:val="00525703"/>
    <w:rsid w:val="00527573"/>
    <w:rsid w:val="005326B5"/>
    <w:rsid w:val="005339BB"/>
    <w:rsid w:val="00534317"/>
    <w:rsid w:val="00536F45"/>
    <w:rsid w:val="00537EE6"/>
    <w:rsid w:val="005401D5"/>
    <w:rsid w:val="00547E75"/>
    <w:rsid w:val="00553F46"/>
    <w:rsid w:val="00555016"/>
    <w:rsid w:val="00556212"/>
    <w:rsid w:val="005606AC"/>
    <w:rsid w:val="0057138A"/>
    <w:rsid w:val="00572B6E"/>
    <w:rsid w:val="005762B0"/>
    <w:rsid w:val="005830E4"/>
    <w:rsid w:val="00584716"/>
    <w:rsid w:val="005849E3"/>
    <w:rsid w:val="00584E4F"/>
    <w:rsid w:val="00584E6C"/>
    <w:rsid w:val="00584F1D"/>
    <w:rsid w:val="00586D6C"/>
    <w:rsid w:val="00587D18"/>
    <w:rsid w:val="00596D1A"/>
    <w:rsid w:val="005A31F5"/>
    <w:rsid w:val="005A65C8"/>
    <w:rsid w:val="005B69C2"/>
    <w:rsid w:val="005C27A1"/>
    <w:rsid w:val="005C7CC0"/>
    <w:rsid w:val="005D0683"/>
    <w:rsid w:val="005D2678"/>
    <w:rsid w:val="005D4D82"/>
    <w:rsid w:val="005D53C9"/>
    <w:rsid w:val="005D6F09"/>
    <w:rsid w:val="005E4B22"/>
    <w:rsid w:val="005E5A41"/>
    <w:rsid w:val="005E674A"/>
    <w:rsid w:val="005E6E17"/>
    <w:rsid w:val="005F6112"/>
    <w:rsid w:val="005F6EBE"/>
    <w:rsid w:val="0060350C"/>
    <w:rsid w:val="00604B3D"/>
    <w:rsid w:val="00606AA2"/>
    <w:rsid w:val="00606C4F"/>
    <w:rsid w:val="00617A76"/>
    <w:rsid w:val="00621ED0"/>
    <w:rsid w:val="00622238"/>
    <w:rsid w:val="006231C3"/>
    <w:rsid w:val="00624BB2"/>
    <w:rsid w:val="00625AB6"/>
    <w:rsid w:val="00632329"/>
    <w:rsid w:val="00637AD1"/>
    <w:rsid w:val="006452B3"/>
    <w:rsid w:val="00652D43"/>
    <w:rsid w:val="0066295A"/>
    <w:rsid w:val="00663035"/>
    <w:rsid w:val="00664055"/>
    <w:rsid w:val="006662B4"/>
    <w:rsid w:val="00666CF9"/>
    <w:rsid w:val="00667457"/>
    <w:rsid w:val="00667A61"/>
    <w:rsid w:val="00670ED6"/>
    <w:rsid w:val="0067541F"/>
    <w:rsid w:val="0068291B"/>
    <w:rsid w:val="006858D5"/>
    <w:rsid w:val="00687DBB"/>
    <w:rsid w:val="00696B1C"/>
    <w:rsid w:val="0069735A"/>
    <w:rsid w:val="006A2B5F"/>
    <w:rsid w:val="006A32C4"/>
    <w:rsid w:val="006A526F"/>
    <w:rsid w:val="006A72B8"/>
    <w:rsid w:val="006B576E"/>
    <w:rsid w:val="006B7F44"/>
    <w:rsid w:val="006C1F05"/>
    <w:rsid w:val="006C2070"/>
    <w:rsid w:val="006C7966"/>
    <w:rsid w:val="006D5B15"/>
    <w:rsid w:val="006D642C"/>
    <w:rsid w:val="006F2BC0"/>
    <w:rsid w:val="00700EA9"/>
    <w:rsid w:val="0070255A"/>
    <w:rsid w:val="00705BEF"/>
    <w:rsid w:val="00706179"/>
    <w:rsid w:val="007113DD"/>
    <w:rsid w:val="0071430B"/>
    <w:rsid w:val="00720659"/>
    <w:rsid w:val="0072201D"/>
    <w:rsid w:val="00733292"/>
    <w:rsid w:val="00736663"/>
    <w:rsid w:val="007423FD"/>
    <w:rsid w:val="00742540"/>
    <w:rsid w:val="00746CAA"/>
    <w:rsid w:val="00751375"/>
    <w:rsid w:val="00751BD6"/>
    <w:rsid w:val="00756821"/>
    <w:rsid w:val="007619AD"/>
    <w:rsid w:val="00762330"/>
    <w:rsid w:val="007640E0"/>
    <w:rsid w:val="007652B1"/>
    <w:rsid w:val="00770616"/>
    <w:rsid w:val="00772E22"/>
    <w:rsid w:val="00775505"/>
    <w:rsid w:val="00776AE1"/>
    <w:rsid w:val="00785C31"/>
    <w:rsid w:val="00791438"/>
    <w:rsid w:val="007A01B4"/>
    <w:rsid w:val="007A03BE"/>
    <w:rsid w:val="007A07E5"/>
    <w:rsid w:val="007A1FEE"/>
    <w:rsid w:val="007A385D"/>
    <w:rsid w:val="007A3E79"/>
    <w:rsid w:val="007A7362"/>
    <w:rsid w:val="007B5A17"/>
    <w:rsid w:val="007B7729"/>
    <w:rsid w:val="007C66DE"/>
    <w:rsid w:val="007D0768"/>
    <w:rsid w:val="007D224F"/>
    <w:rsid w:val="007E0C8A"/>
    <w:rsid w:val="007E3816"/>
    <w:rsid w:val="007F22A1"/>
    <w:rsid w:val="007F5700"/>
    <w:rsid w:val="00802548"/>
    <w:rsid w:val="00802957"/>
    <w:rsid w:val="00814AA6"/>
    <w:rsid w:val="00823EA5"/>
    <w:rsid w:val="00824F39"/>
    <w:rsid w:val="008267EE"/>
    <w:rsid w:val="0083050D"/>
    <w:rsid w:val="00832E9B"/>
    <w:rsid w:val="008432ED"/>
    <w:rsid w:val="00843F7D"/>
    <w:rsid w:val="008447C3"/>
    <w:rsid w:val="00844AAF"/>
    <w:rsid w:val="008450F3"/>
    <w:rsid w:val="00854768"/>
    <w:rsid w:val="0086227D"/>
    <w:rsid w:val="00863FEE"/>
    <w:rsid w:val="008653E0"/>
    <w:rsid w:val="008766B5"/>
    <w:rsid w:val="0088500C"/>
    <w:rsid w:val="0089014A"/>
    <w:rsid w:val="008902CF"/>
    <w:rsid w:val="008966E9"/>
    <w:rsid w:val="008B4A3B"/>
    <w:rsid w:val="008B56E5"/>
    <w:rsid w:val="008C1F77"/>
    <w:rsid w:val="008C5B19"/>
    <w:rsid w:val="008D3CFE"/>
    <w:rsid w:val="008D5E6C"/>
    <w:rsid w:val="008D7F16"/>
    <w:rsid w:val="008E4534"/>
    <w:rsid w:val="008E54DB"/>
    <w:rsid w:val="008F1045"/>
    <w:rsid w:val="00901133"/>
    <w:rsid w:val="009018E4"/>
    <w:rsid w:val="00903BED"/>
    <w:rsid w:val="00905613"/>
    <w:rsid w:val="00905BF1"/>
    <w:rsid w:val="00906C38"/>
    <w:rsid w:val="00913572"/>
    <w:rsid w:val="009171E7"/>
    <w:rsid w:val="00917A3B"/>
    <w:rsid w:val="0092087F"/>
    <w:rsid w:val="0092377F"/>
    <w:rsid w:val="0092404D"/>
    <w:rsid w:val="009274E2"/>
    <w:rsid w:val="00930DF7"/>
    <w:rsid w:val="00936821"/>
    <w:rsid w:val="0094276A"/>
    <w:rsid w:val="00942C75"/>
    <w:rsid w:val="00951195"/>
    <w:rsid w:val="00952045"/>
    <w:rsid w:val="00952BA5"/>
    <w:rsid w:val="009554FB"/>
    <w:rsid w:val="00957EEC"/>
    <w:rsid w:val="00963696"/>
    <w:rsid w:val="009642E6"/>
    <w:rsid w:val="009645E2"/>
    <w:rsid w:val="00965CCC"/>
    <w:rsid w:val="00972BCD"/>
    <w:rsid w:val="0097304E"/>
    <w:rsid w:val="0097647D"/>
    <w:rsid w:val="00983752"/>
    <w:rsid w:val="00983EF6"/>
    <w:rsid w:val="00987E7A"/>
    <w:rsid w:val="009959F3"/>
    <w:rsid w:val="009A11C1"/>
    <w:rsid w:val="009A27F7"/>
    <w:rsid w:val="009A292D"/>
    <w:rsid w:val="009A34B6"/>
    <w:rsid w:val="009A4CAF"/>
    <w:rsid w:val="009A69B5"/>
    <w:rsid w:val="009B0D73"/>
    <w:rsid w:val="009B3167"/>
    <w:rsid w:val="009C020C"/>
    <w:rsid w:val="009C2B2E"/>
    <w:rsid w:val="009C5D67"/>
    <w:rsid w:val="009C698C"/>
    <w:rsid w:val="009C7A2D"/>
    <w:rsid w:val="009C7CE4"/>
    <w:rsid w:val="009D6984"/>
    <w:rsid w:val="009E4A3B"/>
    <w:rsid w:val="009F0653"/>
    <w:rsid w:val="009F1D8D"/>
    <w:rsid w:val="009F7FCB"/>
    <w:rsid w:val="00A00B17"/>
    <w:rsid w:val="00A014C1"/>
    <w:rsid w:val="00A042A1"/>
    <w:rsid w:val="00A052F0"/>
    <w:rsid w:val="00A1042E"/>
    <w:rsid w:val="00A1301E"/>
    <w:rsid w:val="00A1794D"/>
    <w:rsid w:val="00A207E1"/>
    <w:rsid w:val="00A220C6"/>
    <w:rsid w:val="00A2358C"/>
    <w:rsid w:val="00A2663A"/>
    <w:rsid w:val="00A31C85"/>
    <w:rsid w:val="00A32C2E"/>
    <w:rsid w:val="00A33799"/>
    <w:rsid w:val="00A33A9E"/>
    <w:rsid w:val="00A42B01"/>
    <w:rsid w:val="00A459A1"/>
    <w:rsid w:val="00A623DF"/>
    <w:rsid w:val="00A67B5E"/>
    <w:rsid w:val="00A72E16"/>
    <w:rsid w:val="00A76003"/>
    <w:rsid w:val="00A76D78"/>
    <w:rsid w:val="00A83039"/>
    <w:rsid w:val="00A83140"/>
    <w:rsid w:val="00A843DA"/>
    <w:rsid w:val="00A84830"/>
    <w:rsid w:val="00AA2334"/>
    <w:rsid w:val="00AA4DC4"/>
    <w:rsid w:val="00AB05C6"/>
    <w:rsid w:val="00AB14B1"/>
    <w:rsid w:val="00AB66D7"/>
    <w:rsid w:val="00AC32C6"/>
    <w:rsid w:val="00AD4522"/>
    <w:rsid w:val="00AD7BA1"/>
    <w:rsid w:val="00AE3BCF"/>
    <w:rsid w:val="00AF5247"/>
    <w:rsid w:val="00AF78C6"/>
    <w:rsid w:val="00AF7CB4"/>
    <w:rsid w:val="00B00961"/>
    <w:rsid w:val="00B12237"/>
    <w:rsid w:val="00B12F3C"/>
    <w:rsid w:val="00B24FF7"/>
    <w:rsid w:val="00B2543C"/>
    <w:rsid w:val="00B26192"/>
    <w:rsid w:val="00B262CD"/>
    <w:rsid w:val="00B40A66"/>
    <w:rsid w:val="00B50CF4"/>
    <w:rsid w:val="00B56E05"/>
    <w:rsid w:val="00B57B39"/>
    <w:rsid w:val="00B6632A"/>
    <w:rsid w:val="00B67C18"/>
    <w:rsid w:val="00B74F9C"/>
    <w:rsid w:val="00B801E0"/>
    <w:rsid w:val="00B83422"/>
    <w:rsid w:val="00B841C1"/>
    <w:rsid w:val="00B8765A"/>
    <w:rsid w:val="00B92A27"/>
    <w:rsid w:val="00B948DD"/>
    <w:rsid w:val="00B955B3"/>
    <w:rsid w:val="00BA15F6"/>
    <w:rsid w:val="00BA6297"/>
    <w:rsid w:val="00BB0CAA"/>
    <w:rsid w:val="00BB11A8"/>
    <w:rsid w:val="00BB2026"/>
    <w:rsid w:val="00BB4CC4"/>
    <w:rsid w:val="00BB5880"/>
    <w:rsid w:val="00BB5FC7"/>
    <w:rsid w:val="00BC3B43"/>
    <w:rsid w:val="00BC44C7"/>
    <w:rsid w:val="00BC5535"/>
    <w:rsid w:val="00BE02A7"/>
    <w:rsid w:val="00BE2788"/>
    <w:rsid w:val="00BE6F4C"/>
    <w:rsid w:val="00BE7E70"/>
    <w:rsid w:val="00BF460C"/>
    <w:rsid w:val="00BF5F9C"/>
    <w:rsid w:val="00C02F99"/>
    <w:rsid w:val="00C05D8E"/>
    <w:rsid w:val="00C06B20"/>
    <w:rsid w:val="00C06CBE"/>
    <w:rsid w:val="00C123C3"/>
    <w:rsid w:val="00C126DF"/>
    <w:rsid w:val="00C153A3"/>
    <w:rsid w:val="00C15DBB"/>
    <w:rsid w:val="00C2314E"/>
    <w:rsid w:val="00C35848"/>
    <w:rsid w:val="00C444EA"/>
    <w:rsid w:val="00C50DF8"/>
    <w:rsid w:val="00C5114A"/>
    <w:rsid w:val="00C55BB5"/>
    <w:rsid w:val="00C55F6E"/>
    <w:rsid w:val="00C64953"/>
    <w:rsid w:val="00C745E3"/>
    <w:rsid w:val="00C75C2E"/>
    <w:rsid w:val="00C766EF"/>
    <w:rsid w:val="00C773FC"/>
    <w:rsid w:val="00C807AA"/>
    <w:rsid w:val="00C80EE6"/>
    <w:rsid w:val="00C817A7"/>
    <w:rsid w:val="00C82441"/>
    <w:rsid w:val="00C83017"/>
    <w:rsid w:val="00C861B2"/>
    <w:rsid w:val="00C94275"/>
    <w:rsid w:val="00CA2A8B"/>
    <w:rsid w:val="00CA2ADF"/>
    <w:rsid w:val="00CA65E9"/>
    <w:rsid w:val="00CB4339"/>
    <w:rsid w:val="00CB6A55"/>
    <w:rsid w:val="00CC06D4"/>
    <w:rsid w:val="00CC11F6"/>
    <w:rsid w:val="00CC1890"/>
    <w:rsid w:val="00CC480B"/>
    <w:rsid w:val="00CC72C5"/>
    <w:rsid w:val="00CC7310"/>
    <w:rsid w:val="00CD332E"/>
    <w:rsid w:val="00CD41C2"/>
    <w:rsid w:val="00CD603D"/>
    <w:rsid w:val="00CE06FC"/>
    <w:rsid w:val="00CE4335"/>
    <w:rsid w:val="00CF0F2B"/>
    <w:rsid w:val="00D03331"/>
    <w:rsid w:val="00D0647B"/>
    <w:rsid w:val="00D073EA"/>
    <w:rsid w:val="00D12776"/>
    <w:rsid w:val="00D2092D"/>
    <w:rsid w:val="00D23CA9"/>
    <w:rsid w:val="00D31AFE"/>
    <w:rsid w:val="00D332D6"/>
    <w:rsid w:val="00D346FC"/>
    <w:rsid w:val="00D35444"/>
    <w:rsid w:val="00D3691D"/>
    <w:rsid w:val="00D371C4"/>
    <w:rsid w:val="00D455A2"/>
    <w:rsid w:val="00D471D1"/>
    <w:rsid w:val="00D50E81"/>
    <w:rsid w:val="00D634D8"/>
    <w:rsid w:val="00D63C2D"/>
    <w:rsid w:val="00D651FF"/>
    <w:rsid w:val="00D71DEB"/>
    <w:rsid w:val="00D73882"/>
    <w:rsid w:val="00D80609"/>
    <w:rsid w:val="00D82BB6"/>
    <w:rsid w:val="00DA100A"/>
    <w:rsid w:val="00DA25AD"/>
    <w:rsid w:val="00DA73E5"/>
    <w:rsid w:val="00DB0090"/>
    <w:rsid w:val="00DB1679"/>
    <w:rsid w:val="00DC2F1C"/>
    <w:rsid w:val="00DC2F84"/>
    <w:rsid w:val="00DC4BA2"/>
    <w:rsid w:val="00DD4C8D"/>
    <w:rsid w:val="00DD63C9"/>
    <w:rsid w:val="00DD7FB4"/>
    <w:rsid w:val="00DE5082"/>
    <w:rsid w:val="00DF1C7E"/>
    <w:rsid w:val="00DF4AB0"/>
    <w:rsid w:val="00DF66EE"/>
    <w:rsid w:val="00DF77D7"/>
    <w:rsid w:val="00E00371"/>
    <w:rsid w:val="00E07A31"/>
    <w:rsid w:val="00E17346"/>
    <w:rsid w:val="00E20907"/>
    <w:rsid w:val="00E23047"/>
    <w:rsid w:val="00E23270"/>
    <w:rsid w:val="00E266A1"/>
    <w:rsid w:val="00E27A3F"/>
    <w:rsid w:val="00E309FD"/>
    <w:rsid w:val="00E403D4"/>
    <w:rsid w:val="00E40B95"/>
    <w:rsid w:val="00E50150"/>
    <w:rsid w:val="00E5049F"/>
    <w:rsid w:val="00E51089"/>
    <w:rsid w:val="00E5400A"/>
    <w:rsid w:val="00E61308"/>
    <w:rsid w:val="00E61E70"/>
    <w:rsid w:val="00E64653"/>
    <w:rsid w:val="00E67E38"/>
    <w:rsid w:val="00E76995"/>
    <w:rsid w:val="00E80E43"/>
    <w:rsid w:val="00E8311C"/>
    <w:rsid w:val="00E87A04"/>
    <w:rsid w:val="00E922B4"/>
    <w:rsid w:val="00E94534"/>
    <w:rsid w:val="00E97970"/>
    <w:rsid w:val="00EA4003"/>
    <w:rsid w:val="00EB0151"/>
    <w:rsid w:val="00EB3065"/>
    <w:rsid w:val="00EB7ED2"/>
    <w:rsid w:val="00EC43C8"/>
    <w:rsid w:val="00ED1806"/>
    <w:rsid w:val="00ED23BA"/>
    <w:rsid w:val="00ED369B"/>
    <w:rsid w:val="00ED3F02"/>
    <w:rsid w:val="00ED457C"/>
    <w:rsid w:val="00EE0B92"/>
    <w:rsid w:val="00EE0F0E"/>
    <w:rsid w:val="00EE6702"/>
    <w:rsid w:val="00EE68D2"/>
    <w:rsid w:val="00EF14B7"/>
    <w:rsid w:val="00EF44AD"/>
    <w:rsid w:val="00F014F8"/>
    <w:rsid w:val="00F13937"/>
    <w:rsid w:val="00F17267"/>
    <w:rsid w:val="00F27587"/>
    <w:rsid w:val="00F307F9"/>
    <w:rsid w:val="00F3131F"/>
    <w:rsid w:val="00F32538"/>
    <w:rsid w:val="00F34A00"/>
    <w:rsid w:val="00F34D93"/>
    <w:rsid w:val="00F62AEB"/>
    <w:rsid w:val="00F66A6D"/>
    <w:rsid w:val="00F70183"/>
    <w:rsid w:val="00F72010"/>
    <w:rsid w:val="00F76428"/>
    <w:rsid w:val="00F77798"/>
    <w:rsid w:val="00F77B4D"/>
    <w:rsid w:val="00F820F7"/>
    <w:rsid w:val="00F83A44"/>
    <w:rsid w:val="00F85C22"/>
    <w:rsid w:val="00F86B12"/>
    <w:rsid w:val="00F87AC6"/>
    <w:rsid w:val="00F87E6E"/>
    <w:rsid w:val="00F9745D"/>
    <w:rsid w:val="00F979AC"/>
    <w:rsid w:val="00FA075E"/>
    <w:rsid w:val="00FA59B3"/>
    <w:rsid w:val="00FA6353"/>
    <w:rsid w:val="00FB32DE"/>
    <w:rsid w:val="00FB7A50"/>
    <w:rsid w:val="00FC0DF5"/>
    <w:rsid w:val="00FC44B5"/>
    <w:rsid w:val="00FC6127"/>
    <w:rsid w:val="00FC7A4D"/>
    <w:rsid w:val="00FD08A0"/>
    <w:rsid w:val="00FD2E42"/>
    <w:rsid w:val="00FD4AA6"/>
    <w:rsid w:val="00FE0183"/>
    <w:rsid w:val="00FE2B9E"/>
    <w:rsid w:val="00FE6555"/>
    <w:rsid w:val="00FE6C9A"/>
    <w:rsid w:val="00FF4D7B"/>
    <w:rsid w:val="00FF51E1"/>
    <w:rsid w:val="2C954206"/>
    <w:rsid w:val="601356C5"/>
    <w:rsid w:val="70994829"/>
    <w:rsid w:val="78833618"/>
    <w:rsid w:val="7FFFB180"/>
    <w:rsid w:val="DDCF42C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Body Text Indent"/>
    <w:basedOn w:val="1"/>
    <w:uiPriority w:val="0"/>
    <w:pPr>
      <w:widowControl/>
      <w:spacing w:before="100" w:beforeAutospacing="1" w:after="100" w:afterAutospacing="1"/>
      <w:jc w:val="left"/>
    </w:pPr>
    <w:rPr>
      <w:rFonts w:ascii="宋体" w:hAnsi="宋体" w:cs="宋体"/>
      <w:kern w:val="0"/>
      <w:sz w:val="24"/>
    </w:rPr>
  </w:style>
  <w:style w:type="paragraph" w:styleId="4">
    <w:name w:val="Body Text Indent 2"/>
    <w:basedOn w:val="1"/>
    <w:uiPriority w:val="0"/>
    <w:pPr>
      <w:widowControl/>
      <w:spacing w:before="100" w:beforeAutospacing="1" w:after="100" w:afterAutospacing="1"/>
      <w:jc w:val="left"/>
    </w:pPr>
    <w:rPr>
      <w:rFonts w:ascii="宋体" w:hAnsi="宋体" w:cs="宋体"/>
      <w:kern w:val="0"/>
      <w:sz w:val="24"/>
    </w:rPr>
  </w:style>
  <w:style w:type="paragraph" w:styleId="5">
    <w:name w:val="Balloon Text"/>
    <w:basedOn w:val="1"/>
    <w:semiHidden/>
    <w:uiPriority w:val="0"/>
    <w:rPr>
      <w:sz w:val="18"/>
      <w:szCs w:val="18"/>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qFormat/>
    <w:uiPriority w:val="0"/>
    <w:rPr>
      <w:b/>
      <w:bCs/>
    </w:rPr>
  </w:style>
  <w:style w:type="character" w:styleId="12">
    <w:name w:val="Hyperlink"/>
    <w:uiPriority w:val="0"/>
    <w:rPr>
      <w:color w:val="0068B7"/>
      <w:u w:val="none"/>
    </w:rPr>
  </w:style>
  <w:style w:type="character" w:customStyle="1" w:styleId="13">
    <w:name w:val="141"/>
    <w:qFormat/>
    <w:uiPriority w:val="0"/>
    <w:rPr>
      <w:sz w:val="21"/>
      <w:szCs w:val="21"/>
    </w:rPr>
  </w:style>
  <w:style w:type="character" w:customStyle="1" w:styleId="14">
    <w:name w:val="ztag pre"/>
    <w:basedOn w:val="10"/>
    <w:qFormat/>
    <w:uiPriority w:val="0"/>
  </w:style>
  <w:style w:type="character" w:customStyle="1" w:styleId="15">
    <w:name w:val="已访问的超链接1"/>
    <w:qFormat/>
    <w:uiPriority w:val="0"/>
    <w:rPr>
      <w:color w:val="800080"/>
      <w:u w:val="single"/>
    </w:rPr>
  </w:style>
  <w:style w:type="paragraph" w:customStyle="1" w:styleId="16">
    <w:name w:val="列表段落1"/>
    <w:basedOn w:val="1"/>
    <w:qFormat/>
    <w:uiPriority w:val="34"/>
    <w:pPr>
      <w:ind w:firstLine="420" w:firstLineChars="200"/>
    </w:pPr>
  </w:style>
  <w:style w:type="paragraph" w:styleId="17">
    <w:name w:val="List Paragraph"/>
    <w:basedOn w:val="1"/>
    <w:qFormat/>
    <w:uiPriority w:val="34"/>
    <w:pPr>
      <w:ind w:firstLine="420" w:firstLineChars="200"/>
    </w:pPr>
  </w:style>
  <w:style w:type="character" w:customStyle="1" w:styleId="18">
    <w:name w:val="Unresolved Mention"/>
    <w:basedOn w:val="10"/>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544FA9-302A-421B-B215-9574AD2F689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549</Words>
  <Characters>3134</Characters>
  <Lines>26</Lines>
  <Paragraphs>7</Paragraphs>
  <TotalTime>0</TotalTime>
  <ScaleCrop>false</ScaleCrop>
  <LinksUpToDate>false</LinksUpToDate>
  <CharactersWithSpaces>3676</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2019-12-10T09:18:00Z</dcterms:created>
  <dc:creator>全美国际教育协会</dc:creator>
  <cp:lastModifiedBy>Julia</cp:lastModifiedBy>
  <cp:lastPrinted>2011-12-17T00:54:00Z</cp:lastPrinted>
  <dcterms:modified xsi:type="dcterms:W3CDTF">2019-12-27T02:52:20Z</dcterms:modified>
  <dc:title>加州大学河滨分校短期访学项目</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