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righ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inline distT="0" distB="0" distL="0" distR="0">
            <wp:extent cx="857250" cy="299720"/>
            <wp:effectExtent l="0" t="0" r="0" b="508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pPr>
        <w:widowControl/>
        <w:spacing w:line="360" w:lineRule="auto"/>
        <w:jc w:val="center"/>
        <w:rPr>
          <w:rFonts w:asciiTheme="minorHAnsi" w:hAnsiTheme="minorHAnsi" w:eastAsiaTheme="majorEastAsia" w:cstheme="minorHAnsi"/>
          <w:b/>
          <w:kern w:val="0"/>
          <w:sz w:val="32"/>
          <w:szCs w:val="21"/>
        </w:rPr>
      </w:pP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美国</w:t>
      </w:r>
      <w:r>
        <w:rPr>
          <w:rFonts w:asciiTheme="minorHAnsi" w:hAnsiTheme="minorHAnsi" w:eastAsiaTheme="majorEastAsia" w:cstheme="minorHAnsi"/>
          <w:b/>
          <w:kern w:val="0"/>
          <w:sz w:val="32"/>
          <w:szCs w:val="21"/>
        </w:rPr>
        <w:t>乔治华盛顿大学</w:t>
      </w: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2020暑期访学项目</w:t>
      </w:r>
    </w:p>
    <w:p>
      <w:pPr>
        <w:widowControl/>
        <w:spacing w:line="360" w:lineRule="auto"/>
        <w:jc w:val="center"/>
        <w:rPr>
          <w:rFonts w:asciiTheme="minorHAnsi" w:hAnsiTheme="minorHAnsi" w:eastAsiaTheme="majorEastAsia" w:cstheme="minorHAnsi"/>
          <w:kern w:val="0"/>
          <w:szCs w:val="21"/>
        </w:rPr>
      </w:pPr>
      <w:r>
        <w:rPr>
          <w:rFonts w:asciiTheme="minorHAnsi" w:hAnsiTheme="minorHAnsi" w:eastAsiaTheme="majorEastAsia" w:cstheme="minorHAnsi"/>
          <w:b/>
          <w:kern w:val="0"/>
          <w:sz w:val="32"/>
          <w:szCs w:val="21"/>
        </w:rPr>
        <w:t xml:space="preserve">George Washington </w:t>
      </w:r>
      <w:r>
        <w:rPr>
          <w:rFonts w:hint="eastAsia" w:asciiTheme="minorHAnsi" w:hAnsiTheme="minorHAnsi" w:eastAsiaTheme="majorEastAsia" w:cstheme="minorHAnsi"/>
          <w:b/>
          <w:kern w:val="0"/>
          <w:sz w:val="32"/>
          <w:szCs w:val="21"/>
        </w:rPr>
        <w:t>U</w:t>
      </w:r>
      <w:r>
        <w:rPr>
          <w:rFonts w:asciiTheme="minorHAnsi" w:hAnsiTheme="minorHAnsi" w:eastAsiaTheme="majorEastAsia" w:cstheme="minorHAnsi"/>
          <w:b/>
          <w:kern w:val="0"/>
          <w:sz w:val="32"/>
          <w:szCs w:val="21"/>
        </w:rPr>
        <w:t xml:space="preserve">niversity </w:t>
      </w:r>
    </w:p>
    <w:p>
      <w:pPr>
        <w:widowControl/>
        <w:spacing w:line="360" w:lineRule="auto"/>
        <w:jc w:val="center"/>
        <w:rPr>
          <w:rFonts w:asciiTheme="minorHAnsi" w:hAnsiTheme="minorHAnsi" w:cstheme="minorHAnsi"/>
          <w:b/>
        </w:rPr>
      </w:pPr>
      <w:r>
        <w:rPr>
          <w:rFonts w:hint="eastAsia" w:asciiTheme="minorHAnsi" w:hAnsiTheme="minorHAnsi" w:cstheme="minorHAnsi"/>
          <w:b/>
        </w:rPr>
        <w:t>专业学分课程、暑期学术研究项目：</w:t>
      </w:r>
      <w:r>
        <w:rPr>
          <w:rFonts w:asciiTheme="minorHAnsi" w:hAnsiTheme="minorHAnsi" w:cstheme="minorHAnsi"/>
          <w:b/>
        </w:rPr>
        <w:t>2020</w:t>
      </w:r>
      <w:r>
        <w:rPr>
          <w:rFonts w:hint="eastAsia" w:asciiTheme="minorHAnsi" w:hAnsiTheme="minorHAnsi" w:cstheme="minorHAnsi"/>
          <w:b/>
        </w:rPr>
        <w:t>年6月29日</w:t>
      </w:r>
      <w:r>
        <w:rPr>
          <w:rFonts w:asciiTheme="minorHAnsi" w:hAnsiTheme="minorHAnsi" w:cstheme="minorHAnsi"/>
          <w:b/>
        </w:rPr>
        <w:t xml:space="preserve">- </w:t>
      </w:r>
      <w:r>
        <w:rPr>
          <w:rFonts w:hint="eastAsia" w:asciiTheme="minorHAnsi" w:hAnsiTheme="minorHAnsi" w:cstheme="minorHAnsi"/>
          <w:b/>
        </w:rPr>
        <w:t>8月8日（6周）</w:t>
      </w:r>
    </w:p>
    <w:p>
      <w:pPr>
        <w:widowControl/>
        <w:spacing w:line="360" w:lineRule="auto"/>
        <w:rPr>
          <w:rFonts w:asciiTheme="minorHAnsi" w:hAnsiTheme="minorHAnsi" w:eastAsiaTheme="majorEastAsia" w:cstheme="minorHAnsi"/>
          <w:kern w:val="0"/>
          <w:szCs w:val="21"/>
        </w:rPr>
      </w:pPr>
    </w:p>
    <w:p>
      <w:pPr>
        <w:pStyle w:val="17"/>
        <w:widowControl/>
        <w:numPr>
          <w:ilvl w:val="0"/>
          <w:numId w:val="1"/>
        </w:numPr>
        <w:spacing w:line="360" w:lineRule="auto"/>
        <w:ind w:firstLineChars="0"/>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 xml:space="preserve"> 项目综述</w:t>
      </w:r>
    </w:p>
    <w:p>
      <w:pPr>
        <w:widowControl/>
        <w:spacing w:line="360" w:lineRule="auto"/>
        <w:ind w:firstLine="420" w:firstLineChars="200"/>
        <w:jc w:val="left"/>
        <w:rPr>
          <w:rFonts w:asciiTheme="minorHAnsi" w:hAnsiTheme="minorHAnsi"/>
        </w:rPr>
      </w:pPr>
      <w:r>
        <w:rPr>
          <w:rFonts w:hint="eastAsia" w:cs="Calibri" w:asciiTheme="minorHAnsi" w:hAnsiTheme="minorHAnsi"/>
          <w:szCs w:val="21"/>
        </w:rPr>
        <w:t>乔治华盛顿</w:t>
      </w:r>
      <w:r>
        <w:rPr>
          <w:rFonts w:cs="Calibri" w:asciiTheme="minorHAnsi" w:hAnsiTheme="minorHAnsi"/>
          <w:szCs w:val="21"/>
        </w:rPr>
        <w:t>大学</w:t>
      </w:r>
      <w:r>
        <w:rPr>
          <w:rFonts w:hint="eastAsia" w:cs="Calibri" w:asciiTheme="minorHAnsi" w:hAnsiTheme="minorHAnsi"/>
          <w:szCs w:val="21"/>
        </w:rPr>
        <w:t>是</w:t>
      </w:r>
      <w:r>
        <w:rPr>
          <w:rFonts w:cs="Calibri" w:asciiTheme="minorHAnsi" w:hAnsiTheme="minorHAnsi"/>
          <w:szCs w:val="21"/>
        </w:rPr>
        <w:t>世界一流的著名私立研究型大学</w:t>
      </w:r>
      <w:r>
        <w:rPr>
          <w:rFonts w:hint="eastAsia" w:cs="Calibri" w:asciiTheme="minorHAnsi" w:hAnsiTheme="minorHAnsi"/>
          <w:szCs w:val="21"/>
        </w:rPr>
        <w:t>，以国际关系、政治科学、法律等学科见长，被誉为美国“</w:t>
      </w:r>
      <w:r>
        <w:rPr>
          <w:rFonts w:cs="Calibri" w:asciiTheme="minorHAnsi" w:hAnsiTheme="minorHAnsi"/>
          <w:szCs w:val="21"/>
        </w:rPr>
        <w:t>政治家的摇篮</w:t>
      </w:r>
      <w:r>
        <w:rPr>
          <w:rFonts w:hint="eastAsia" w:cs="Calibri" w:asciiTheme="minorHAnsi" w:hAnsiTheme="minorHAnsi"/>
          <w:szCs w:val="21"/>
        </w:rPr>
        <w:t>”。乔治华盛顿大学</w:t>
      </w:r>
      <w:r>
        <w:rPr>
          <w:rFonts w:asciiTheme="minorHAnsi" w:hAnsiTheme="minorHAnsi"/>
        </w:rPr>
        <w:t>的</w:t>
      </w:r>
      <w:r>
        <w:rPr>
          <w:rFonts w:hint="eastAsia" w:asciiTheme="minorHAnsi" w:hAnsiTheme="minorHAnsi"/>
        </w:rPr>
        <w:t>“暑期与非学位项目部”每年暑期开设两类项目，分别是专业学分课程（G</w:t>
      </w:r>
      <w:r>
        <w:rPr>
          <w:rFonts w:asciiTheme="minorHAnsi" w:hAnsiTheme="minorHAnsi"/>
        </w:rPr>
        <w:t>eneral Study</w:t>
      </w:r>
      <w:r>
        <w:rPr>
          <w:rFonts w:hint="eastAsia" w:asciiTheme="minorHAnsi" w:hAnsiTheme="minorHAnsi"/>
        </w:rPr>
        <w:t>），以及暑期学术研究项目（S</w:t>
      </w:r>
      <w:r>
        <w:rPr>
          <w:rFonts w:asciiTheme="minorHAnsi" w:hAnsiTheme="minorHAnsi"/>
        </w:rPr>
        <w:t>ummer Research Experience</w:t>
      </w:r>
      <w:r>
        <w:rPr>
          <w:rFonts w:hint="eastAsia" w:asciiTheme="minorHAnsi" w:hAnsiTheme="minorHAnsi"/>
        </w:rPr>
        <w:t>）。</w:t>
      </w:r>
    </w:p>
    <w:p>
      <w:pPr>
        <w:widowControl/>
        <w:spacing w:line="360" w:lineRule="auto"/>
        <w:ind w:left="430"/>
        <w:jc w:val="left"/>
        <w:rPr>
          <w:rFonts w:asciiTheme="minorHAnsi" w:hAnsiTheme="minorHAnsi"/>
        </w:rPr>
      </w:pPr>
    </w:p>
    <w:p>
      <w:pPr>
        <w:pStyle w:val="17"/>
        <w:widowControl/>
        <w:spacing w:line="360" w:lineRule="auto"/>
        <w:ind w:left="420" w:firstLine="0" w:firstLineChars="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全美国际教育协会作为</w:t>
      </w:r>
      <w:r>
        <w:rPr>
          <w:rFonts w:hint="eastAsia" w:cs="Calibri" w:asciiTheme="minorHAnsi" w:hAnsiTheme="minorHAnsi"/>
          <w:szCs w:val="21"/>
        </w:rPr>
        <w:t>乔治华盛顿</w:t>
      </w:r>
      <w:r>
        <w:rPr>
          <w:rFonts w:cs="Calibri" w:asciiTheme="minorHAnsi" w:hAnsiTheme="minorHAnsi"/>
          <w:szCs w:val="21"/>
        </w:rPr>
        <w:t>大学</w:t>
      </w:r>
      <w:r>
        <w:rPr>
          <w:rFonts w:hint="eastAsia" w:asciiTheme="minorHAnsi" w:hAnsiTheme="minorHAnsi" w:eastAsiaTheme="majorEastAsia" w:cstheme="minorHAnsi"/>
          <w:kern w:val="0"/>
          <w:szCs w:val="21"/>
        </w:rPr>
        <w:t>在中国的正式授权机构，负责选拔优秀中</w:t>
      </w:r>
    </w:p>
    <w:p>
      <w:pPr>
        <w:widowControl/>
        <w:spacing w:line="360" w:lineRule="auto"/>
        <w:jc w:val="left"/>
        <w:rPr>
          <w:rFonts w:asciiTheme="minorHAnsi" w:hAnsiTheme="minorHAnsi" w:eastAsiaTheme="majorEastAsia" w:cstheme="minorHAnsi"/>
          <w:kern w:val="0"/>
          <w:szCs w:val="21"/>
        </w:rPr>
      </w:pPr>
      <w:r>
        <w:rPr>
          <w:rFonts w:hint="eastAsia" w:cs="Calibri" w:asciiTheme="minorHAnsi" w:hAnsiTheme="minorHAnsi"/>
          <w:szCs w:val="21"/>
        </w:rPr>
        <w:drawing>
          <wp:anchor distT="0" distB="0" distL="114300" distR="114300" simplePos="0" relativeHeight="251669504" behindDoc="0" locked="0" layoutInCell="1" allowOverlap="1">
            <wp:simplePos x="0" y="0"/>
            <wp:positionH relativeFrom="column">
              <wp:posOffset>285750</wp:posOffset>
            </wp:positionH>
            <wp:positionV relativeFrom="paragraph">
              <wp:posOffset>1119505</wp:posOffset>
            </wp:positionV>
            <wp:extent cx="4648200" cy="2447925"/>
            <wp:effectExtent l="19050" t="0" r="0" b="0"/>
            <wp:wrapSquare wrapText="bothSides"/>
            <wp:docPr id="1" name="图片 1" descr="C:\Users\Administrator\Downloads\george-washington-university-pa-pro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ownloads\george-washington-university-pa-program.jpg"/>
                    <pic:cNvPicPr>
                      <a:picLocks noChangeAspect="1" noChangeArrowheads="1"/>
                    </pic:cNvPicPr>
                  </pic:nvPicPr>
                  <pic:blipFill>
                    <a:blip r:embed="rId6"/>
                    <a:srcRect/>
                    <a:stretch>
                      <a:fillRect/>
                    </a:stretch>
                  </pic:blipFill>
                  <pic:spPr>
                    <a:xfrm>
                      <a:off x="0" y="0"/>
                      <a:ext cx="4648200" cy="2447925"/>
                    </a:xfrm>
                    <a:prstGeom prst="rect">
                      <a:avLst/>
                    </a:prstGeom>
                    <a:noFill/>
                    <a:ln w="9525">
                      <a:noFill/>
                      <a:miter lim="800000"/>
                      <a:headEnd/>
                      <a:tailEnd/>
                    </a:ln>
                  </pic:spPr>
                </pic:pic>
              </a:graphicData>
            </a:graphic>
          </wp:anchor>
        </w:drawing>
      </w:r>
      <w:r>
        <w:rPr>
          <w:rFonts w:hint="eastAsia" w:asciiTheme="minorHAnsi" w:hAnsiTheme="minorHAnsi" w:eastAsiaTheme="majorEastAsia" w:cstheme="minorHAnsi"/>
          <w:kern w:val="0"/>
          <w:szCs w:val="21"/>
        </w:rPr>
        <w:t>国大学生，于20</w:t>
      </w:r>
      <w:r>
        <w:rPr>
          <w:rFonts w:asciiTheme="minorHAnsi" w:hAnsiTheme="minorHAnsi" w:eastAsiaTheme="majorEastAsia" w:cstheme="minorHAnsi"/>
          <w:kern w:val="0"/>
          <w:szCs w:val="21"/>
        </w:rPr>
        <w:t>20</w:t>
      </w:r>
      <w:r>
        <w:rPr>
          <w:rFonts w:hint="eastAsia" w:asciiTheme="minorHAnsi" w:hAnsiTheme="minorHAnsi" w:eastAsiaTheme="majorEastAsia" w:cstheme="minorHAnsi"/>
          <w:kern w:val="0"/>
          <w:szCs w:val="21"/>
        </w:rPr>
        <w:t>年暑期前往</w:t>
      </w:r>
      <w:r>
        <w:rPr>
          <w:rFonts w:hint="eastAsia" w:cs="Calibri" w:asciiTheme="minorHAnsi" w:hAnsiTheme="minorHAnsi"/>
          <w:szCs w:val="21"/>
        </w:rPr>
        <w:t>乔治华盛顿</w:t>
      </w:r>
      <w:r>
        <w:rPr>
          <w:rFonts w:cs="Calibri" w:asciiTheme="minorHAnsi" w:hAnsiTheme="minorHAnsi"/>
          <w:szCs w:val="21"/>
        </w:rPr>
        <w:t>大学</w:t>
      </w:r>
      <w:r>
        <w:rPr>
          <w:rFonts w:hint="eastAsia" w:asciiTheme="minorHAnsi" w:hAnsiTheme="minorHAnsi" w:eastAsiaTheme="majorEastAsia" w:cstheme="minorHAnsi"/>
          <w:kern w:val="0"/>
          <w:szCs w:val="21"/>
        </w:rPr>
        <w:t>参加为期6周的专业学习。项目学生将与全世界其它国家的国际学生混班上课，迅速提升自身的英语水平与专业学术技能，同时体验美国的社会与文化。</w:t>
      </w:r>
    </w:p>
    <w:p>
      <w:pPr>
        <w:widowControl/>
        <w:spacing w:line="360" w:lineRule="auto"/>
        <w:jc w:val="left"/>
        <w:rPr>
          <w:rFonts w:asciiTheme="minorHAnsi" w:hAnsiTheme="minorHAnsi" w:eastAsiaTheme="majorEastAsia" w:cstheme="minorHAnsi"/>
          <w:kern w:val="0"/>
          <w:szCs w:val="21"/>
        </w:rPr>
      </w:pPr>
    </w:p>
    <w:p>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kern w:val="0"/>
          <w:szCs w:val="21"/>
        </w:rPr>
        <w:t xml:space="preserve">二、 </w:t>
      </w:r>
      <w:r>
        <w:rPr>
          <w:rFonts w:hint="eastAsia" w:asciiTheme="minorHAnsi" w:hAnsiTheme="minorHAnsi" w:eastAsiaTheme="majorEastAsia" w:cstheme="minorHAnsi"/>
          <w:b/>
          <w:kern w:val="0"/>
          <w:szCs w:val="21"/>
        </w:rPr>
        <w:t>特色与优势</w:t>
      </w:r>
    </w:p>
    <w:p>
      <w:pPr>
        <w:pStyle w:val="17"/>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【体验“美国政治家的摇篮”】乔治华盛顿大学治学严谨，学术氛围浓厚，暑期可提供数百门丰富的专业课程供学生选择；</w:t>
      </w:r>
    </w:p>
    <w:p>
      <w:pPr>
        <w:pStyle w:val="17"/>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【乔治华盛顿大学</w:t>
      </w:r>
      <w:r>
        <w:rPr>
          <w:rFonts w:hint="eastAsia" w:asciiTheme="minorHAnsi" w:hAnsiTheme="minorHAnsi" w:eastAsiaTheme="majorEastAsia" w:cstheme="minorHAnsi"/>
          <w:szCs w:val="21"/>
        </w:rPr>
        <w:t>学分与</w:t>
      </w:r>
      <w:r>
        <w:rPr>
          <w:rFonts w:hint="eastAsia" w:cs="Calibri" w:asciiTheme="minorHAnsi" w:hAnsiTheme="minorHAnsi"/>
          <w:szCs w:val="21"/>
        </w:rPr>
        <w:t>成绩单】学生可获得乔治华盛顿大学</w:t>
      </w:r>
      <w:r>
        <w:rPr>
          <w:rFonts w:hint="eastAsia" w:cs="Calibri" w:asciiTheme="minorHAnsi" w:hAnsiTheme="minorHAnsi" w:eastAsiaTheme="majorEastAsia"/>
          <w:szCs w:val="21"/>
        </w:rPr>
        <w:t>的正式学分</w:t>
      </w:r>
      <w:r>
        <w:rPr>
          <w:rFonts w:hint="eastAsia" w:cs="Calibri" w:asciiTheme="minorHAnsi" w:hAnsiTheme="minorHAnsi"/>
          <w:szCs w:val="21"/>
        </w:rPr>
        <w:t>与成绩单，为个人简历添砖加瓦；</w:t>
      </w:r>
    </w:p>
    <w:p>
      <w:pPr>
        <w:pStyle w:val="17"/>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【与国际学生混班上课】与其它国际学生一起学习专业学术课程，最大限度体验乔治华盛顿大学的顶级教学资源；</w:t>
      </w:r>
    </w:p>
    <w:p>
      <w:pPr>
        <w:pStyle w:val="17"/>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【尽享校园设施与资源】 获得乔治华盛顿大学学生证，</w:t>
      </w:r>
      <w:r>
        <w:rPr>
          <w:rFonts w:hint="eastAsia" w:asciiTheme="minorHAnsi" w:hAnsiTheme="minorHAnsi" w:eastAsiaTheme="majorEastAsia" w:cstheme="minorHAnsi"/>
          <w:szCs w:val="21"/>
        </w:rPr>
        <w:t>按校方规定充分享受各类校园设施与教育资源</w:t>
      </w:r>
      <w:r>
        <w:rPr>
          <w:rFonts w:hint="eastAsia" w:cs="Calibri" w:asciiTheme="minorHAnsi" w:hAnsiTheme="minorHAnsi"/>
          <w:szCs w:val="21"/>
        </w:rPr>
        <w:t>；</w:t>
      </w:r>
    </w:p>
    <w:p>
      <w:pPr>
        <w:pStyle w:val="17"/>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【丰富多彩的文化体验】学校位于美国首都华盛顿特区，学生可利用课余时间参观白宫、国会山、林肯纪念堂、华盛顿纪念碑等知名景点。</w:t>
      </w:r>
    </w:p>
    <w:p>
      <w:pPr>
        <w:widowControl/>
        <w:spacing w:line="360" w:lineRule="auto"/>
        <w:jc w:val="left"/>
        <w:rPr>
          <w:rFonts w:asciiTheme="minorHAnsi" w:hAnsiTheme="minorHAnsi" w:eastAsiaTheme="majorEastAsia" w:cstheme="minorHAnsi"/>
          <w:b/>
          <w:kern w:val="0"/>
          <w:szCs w:val="21"/>
        </w:rPr>
      </w:pPr>
    </w:p>
    <w:p>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 xml:space="preserve">三、 </w:t>
      </w:r>
      <w:r>
        <w:rPr>
          <w:rFonts w:cs="Calibri" w:asciiTheme="minorHAnsi" w:hAnsiTheme="minorHAnsi"/>
          <w:b/>
          <w:szCs w:val="21"/>
        </w:rPr>
        <w:t>乔治华盛顿大学</w:t>
      </w:r>
      <w:r>
        <w:rPr>
          <w:rFonts w:asciiTheme="minorHAnsi" w:hAnsiTheme="minorHAnsi" w:eastAsiaTheme="majorEastAsia" w:cstheme="minorHAnsi"/>
          <w:b/>
          <w:bCs/>
          <w:kern w:val="0"/>
          <w:szCs w:val="21"/>
        </w:rPr>
        <w:t>简介</w:t>
      </w:r>
    </w:p>
    <w:p>
      <w:pPr>
        <w:pStyle w:val="17"/>
        <w:numPr>
          <w:ilvl w:val="0"/>
          <w:numId w:val="3"/>
        </w:numPr>
        <w:spacing w:line="360" w:lineRule="auto"/>
        <w:ind w:firstLineChars="0"/>
        <w:rPr>
          <w:rFonts w:asciiTheme="minorHAnsi" w:hAnsiTheme="minorHAnsi" w:eastAsiaTheme="majorEastAsia" w:cstheme="minorHAnsi"/>
          <w:szCs w:val="21"/>
        </w:rPr>
      </w:pPr>
      <w:r>
        <w:rPr>
          <w:rFonts w:cs="Calibri" w:asciiTheme="minorHAnsi" w:hAnsiTheme="minorHAnsi"/>
          <w:szCs w:val="21"/>
        </w:rPr>
        <w:t>1821年为纪念美国国父乔治·华盛顿而创建，世界一流的著名私立研究型大学，</w:t>
      </w:r>
      <w:r>
        <w:rPr>
          <w:rFonts w:asciiTheme="minorHAnsi" w:hAnsiTheme="minorHAnsi" w:eastAsiaTheme="majorEastAsia" w:cstheme="minorHAnsi"/>
          <w:szCs w:val="21"/>
        </w:rPr>
        <w:t>20</w:t>
      </w:r>
      <w:r>
        <w:rPr>
          <w:rFonts w:hint="eastAsia" w:asciiTheme="minorHAnsi" w:hAnsiTheme="minorHAnsi" w:eastAsiaTheme="majorEastAsia" w:cstheme="minorHAnsi"/>
          <w:szCs w:val="21"/>
        </w:rPr>
        <w:t>20</w:t>
      </w:r>
      <w:r>
        <w:rPr>
          <w:rFonts w:asciiTheme="minorHAnsi" w:hAnsiTheme="minorHAnsi" w:eastAsiaTheme="majorEastAsia" w:cstheme="minorHAnsi"/>
          <w:szCs w:val="21"/>
        </w:rPr>
        <w:t>年</w:t>
      </w:r>
      <w:r>
        <w:rPr>
          <w:rFonts w:asciiTheme="minorHAnsi" w:hAnsiTheme="minorHAnsi" w:cstheme="minorHAnsi"/>
          <w:kern w:val="0"/>
          <w:szCs w:val="21"/>
        </w:rPr>
        <w:t>《美国新闻与世界报道》</w:t>
      </w:r>
      <w:r>
        <w:rPr>
          <w:rFonts w:asciiTheme="minorHAnsi" w:hAnsiTheme="minorHAnsi" w:eastAsiaTheme="majorEastAsia" w:cstheme="minorHAnsi"/>
          <w:szCs w:val="21"/>
        </w:rPr>
        <w:t>全美大学综合排名第</w:t>
      </w:r>
      <w:r>
        <w:rPr>
          <w:rFonts w:hint="eastAsia" w:asciiTheme="minorHAnsi" w:hAnsiTheme="minorHAnsi" w:eastAsiaTheme="majorEastAsia" w:cstheme="minorHAnsi"/>
          <w:szCs w:val="21"/>
        </w:rPr>
        <w:t>70</w:t>
      </w:r>
      <w:r>
        <w:rPr>
          <w:rFonts w:asciiTheme="minorHAnsi" w:hAnsiTheme="minorHAnsi" w:eastAsiaTheme="majorEastAsia" w:cstheme="minorHAnsi"/>
          <w:szCs w:val="21"/>
        </w:rPr>
        <w:t>；世界大学排名第2</w:t>
      </w:r>
      <w:r>
        <w:rPr>
          <w:rFonts w:hint="eastAsia" w:asciiTheme="minorHAnsi" w:hAnsiTheme="minorHAnsi" w:eastAsiaTheme="majorEastAsia" w:cstheme="minorHAnsi"/>
          <w:szCs w:val="21"/>
        </w:rPr>
        <w:t>55</w:t>
      </w:r>
      <w:r>
        <w:rPr>
          <w:rFonts w:asciiTheme="minorHAnsi" w:hAnsiTheme="minorHAnsi" w:eastAsiaTheme="majorEastAsia" w:cstheme="minorHAnsi"/>
          <w:szCs w:val="21"/>
        </w:rPr>
        <w:t>位；</w:t>
      </w:r>
    </w:p>
    <w:p>
      <w:pPr>
        <w:pStyle w:val="17"/>
        <w:widowControl/>
        <w:numPr>
          <w:ilvl w:val="0"/>
          <w:numId w:val="4"/>
        </w:numPr>
        <w:spacing w:line="360" w:lineRule="auto"/>
        <w:ind w:firstLineChars="0"/>
        <w:jc w:val="left"/>
        <w:rPr>
          <w:rFonts w:asciiTheme="minorHAnsi" w:hAnsiTheme="minorHAnsi" w:cstheme="minorHAnsi"/>
          <w:kern w:val="0"/>
          <w:szCs w:val="21"/>
        </w:rPr>
      </w:pPr>
      <w:r>
        <w:rPr>
          <w:rFonts w:cs="Calibri" w:asciiTheme="minorHAnsi" w:hAnsiTheme="minorHAnsi"/>
          <w:szCs w:val="21"/>
        </w:rPr>
        <w:t>被誉为美国“政治家的摇篮”，历史上曾培养出众多影响美国历史的政界、军界、学术界、商界等领域的领袖人物；</w:t>
      </w:r>
    </w:p>
    <w:p>
      <w:pPr>
        <w:pStyle w:val="17"/>
        <w:widowControl/>
        <w:numPr>
          <w:ilvl w:val="0"/>
          <w:numId w:val="4"/>
        </w:numPr>
        <w:spacing w:line="360" w:lineRule="auto"/>
        <w:ind w:firstLineChars="0"/>
        <w:jc w:val="left"/>
        <w:rPr>
          <w:rFonts w:asciiTheme="minorHAnsi" w:hAnsiTheme="minorHAnsi" w:cstheme="minorHAnsi"/>
          <w:kern w:val="0"/>
          <w:szCs w:val="21"/>
        </w:rPr>
      </w:pPr>
      <w:r>
        <w:rPr>
          <w:rFonts w:asciiTheme="minorHAnsi" w:hAnsiTheme="minorHAnsi" w:eastAsiaTheme="majorEastAsia" w:cstheme="minorHAnsi"/>
          <w:szCs w:val="21"/>
        </w:rPr>
        <w:t>学生数量超过</w:t>
      </w:r>
      <w:r>
        <w:rPr>
          <w:rFonts w:hint="eastAsia" w:asciiTheme="minorHAnsi" w:hAnsiTheme="minorHAnsi" w:eastAsiaTheme="majorEastAsia" w:cstheme="minorHAnsi"/>
          <w:szCs w:val="21"/>
        </w:rPr>
        <w:t>26,000人，</w:t>
      </w:r>
      <w:r>
        <w:rPr>
          <w:rFonts w:asciiTheme="minorHAnsi" w:hAnsiTheme="minorHAnsi" w:eastAsiaTheme="majorEastAsia" w:cstheme="minorHAnsi"/>
          <w:szCs w:val="21"/>
        </w:rPr>
        <w:t>下属14个本科</w:t>
      </w:r>
      <w:r>
        <w:rPr>
          <w:rFonts w:hint="eastAsia" w:asciiTheme="minorHAnsi" w:hAnsiTheme="minorHAnsi" w:eastAsiaTheme="majorEastAsia" w:cstheme="minorHAnsi"/>
          <w:szCs w:val="21"/>
        </w:rPr>
        <w:t>及</w:t>
      </w:r>
      <w:r>
        <w:rPr>
          <w:rFonts w:asciiTheme="minorHAnsi" w:hAnsiTheme="minorHAnsi" w:eastAsiaTheme="majorEastAsia" w:cstheme="minorHAnsi"/>
          <w:szCs w:val="21"/>
        </w:rPr>
        <w:t>研究生学院，</w:t>
      </w:r>
      <w:r>
        <w:rPr>
          <w:rFonts w:cs="宋体" w:asciiTheme="minorHAnsi" w:hAnsiTheme="minorHAnsi"/>
          <w:kern w:val="0"/>
          <w:szCs w:val="21"/>
        </w:rPr>
        <w:t>优势学科包括国际关系、公共事务、社会政策、法律、政治科学教育</w:t>
      </w:r>
      <w:r>
        <w:rPr>
          <w:rFonts w:hint="eastAsia" w:cs="宋体" w:asciiTheme="minorHAnsi" w:hAnsiTheme="minorHAnsi"/>
          <w:kern w:val="0"/>
          <w:szCs w:val="21"/>
        </w:rPr>
        <w:t>、</w:t>
      </w:r>
      <w:r>
        <w:rPr>
          <w:rFonts w:cs="宋体" w:asciiTheme="minorHAnsi" w:hAnsiTheme="minorHAnsi"/>
          <w:kern w:val="0"/>
          <w:szCs w:val="21"/>
        </w:rPr>
        <w:t>商科等；</w:t>
      </w:r>
    </w:p>
    <w:p>
      <w:pPr>
        <w:pStyle w:val="17"/>
        <w:widowControl/>
        <w:numPr>
          <w:ilvl w:val="0"/>
          <w:numId w:val="4"/>
        </w:numPr>
        <w:spacing w:line="360" w:lineRule="auto"/>
        <w:ind w:firstLineChars="0"/>
        <w:jc w:val="left"/>
        <w:rPr>
          <w:rFonts w:asciiTheme="minorHAnsi" w:hAnsiTheme="minorHAnsi" w:cstheme="minorHAnsi"/>
          <w:kern w:val="0"/>
          <w:szCs w:val="21"/>
        </w:rPr>
      </w:pPr>
      <w:r>
        <w:rPr>
          <w:rFonts w:cs="Calibri" w:asciiTheme="minorHAnsi" w:hAnsiTheme="minorHAnsi"/>
          <w:szCs w:val="21"/>
        </w:rPr>
        <w:t>学校</w:t>
      </w:r>
      <w:r>
        <w:rPr>
          <w:rFonts w:asciiTheme="minorHAnsi" w:hAnsiTheme="minorHAnsi" w:cstheme="minorHAnsi"/>
          <w:kern w:val="0"/>
          <w:szCs w:val="21"/>
        </w:rPr>
        <w:t>位</w:t>
      </w:r>
      <w:r>
        <w:rPr>
          <w:rFonts w:cs="Calibri" w:asciiTheme="minorHAnsi" w:hAnsiTheme="minorHAnsi"/>
          <w:szCs w:val="21"/>
        </w:rPr>
        <w:t>于美国首都华盛顿市，地理位置优越</w:t>
      </w:r>
      <w:r>
        <w:rPr>
          <w:rFonts w:hint="eastAsia" w:cs="Calibri" w:asciiTheme="minorHAnsi" w:hAnsiTheme="minorHAnsi"/>
          <w:szCs w:val="21"/>
        </w:rPr>
        <w:t>，</w:t>
      </w:r>
      <w:r>
        <w:rPr>
          <w:rFonts w:cs="Calibri" w:asciiTheme="minorHAnsi" w:hAnsiTheme="minorHAnsi"/>
          <w:szCs w:val="21"/>
        </w:rPr>
        <w:t>比邻美国国务院、世界银行、国际货币基金组织，距白宫只有几个街区。</w:t>
      </w:r>
    </w:p>
    <w:p>
      <w:pPr>
        <w:widowControl/>
        <w:spacing w:line="360" w:lineRule="auto"/>
        <w:ind w:firstLine="420" w:firstLineChars="200"/>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b/>
          <w:szCs w:val="21"/>
        </w:rPr>
      </w:pPr>
      <w:r>
        <w:rPr>
          <w:rFonts w:hint="eastAsia" w:asciiTheme="minorHAnsi" w:hAnsiTheme="minorHAnsi" w:eastAsiaTheme="majorEastAsia" w:cstheme="minorHAnsi"/>
          <w:b/>
          <w:szCs w:val="21"/>
        </w:rPr>
        <w:t>四、 项目详情</w:t>
      </w: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pPr>
        <w:widowControl/>
        <w:spacing w:line="360" w:lineRule="auto"/>
        <w:jc w:val="left"/>
        <w:rPr>
          <w:rFonts w:asciiTheme="minorHAnsi" w:hAnsiTheme="minorHAnsi" w:eastAsiaTheme="majorEastAsia" w:cstheme="minorHAnsi"/>
          <w:bCs/>
          <w:szCs w:val="21"/>
        </w:rPr>
      </w:pPr>
      <w:r>
        <w:rPr>
          <w:rFonts w:asciiTheme="minorHAnsi" w:hAnsiTheme="minorHAnsi" w:eastAsiaTheme="majorEastAsia" w:cstheme="minorHAnsi"/>
          <w:bCs/>
          <w:szCs w:val="21"/>
        </w:rPr>
        <w:t>20</w:t>
      </w:r>
      <w:r>
        <w:rPr>
          <w:rFonts w:hint="eastAsia" w:asciiTheme="minorHAnsi" w:hAnsiTheme="minorHAnsi" w:eastAsiaTheme="majorEastAsia" w:cstheme="minorHAnsi"/>
          <w:bCs/>
          <w:szCs w:val="21"/>
        </w:rPr>
        <w:t>20</w:t>
      </w:r>
      <w:r>
        <w:rPr>
          <w:rFonts w:asciiTheme="minorHAnsi" w:hAnsiTheme="minorHAnsi" w:eastAsiaTheme="majorEastAsia" w:cstheme="minorHAnsi"/>
          <w:bCs/>
          <w:szCs w:val="21"/>
        </w:rPr>
        <w:t>年</w:t>
      </w:r>
      <w:r>
        <w:rPr>
          <w:rFonts w:hint="eastAsia" w:asciiTheme="minorHAnsi" w:hAnsiTheme="minorHAnsi" w:eastAsiaTheme="majorEastAsia" w:cstheme="minorHAnsi"/>
          <w:bCs/>
          <w:szCs w:val="21"/>
        </w:rPr>
        <w:t>6</w:t>
      </w:r>
      <w:r>
        <w:rPr>
          <w:rFonts w:asciiTheme="minorHAnsi" w:hAnsiTheme="minorHAnsi" w:eastAsiaTheme="majorEastAsia" w:cstheme="minorHAnsi"/>
          <w:bCs/>
          <w:szCs w:val="21"/>
        </w:rPr>
        <w:t>月</w:t>
      </w:r>
      <w:r>
        <w:rPr>
          <w:rFonts w:hint="eastAsia" w:asciiTheme="minorHAnsi" w:hAnsiTheme="minorHAnsi" w:eastAsiaTheme="majorEastAsia" w:cstheme="minorHAnsi"/>
          <w:bCs/>
          <w:szCs w:val="21"/>
        </w:rPr>
        <w:t>29</w:t>
      </w:r>
      <w:r>
        <w:rPr>
          <w:rFonts w:asciiTheme="minorHAnsi" w:hAnsiTheme="minorHAnsi" w:eastAsiaTheme="majorEastAsia" w:cstheme="minorHAnsi"/>
          <w:bCs/>
          <w:szCs w:val="21"/>
        </w:rPr>
        <w:t>日 – 8月</w:t>
      </w:r>
      <w:r>
        <w:rPr>
          <w:rFonts w:hint="eastAsia" w:asciiTheme="minorHAnsi" w:hAnsiTheme="minorHAnsi" w:eastAsiaTheme="majorEastAsia" w:cstheme="minorHAnsi"/>
          <w:bCs/>
          <w:szCs w:val="21"/>
        </w:rPr>
        <w:t>8</w:t>
      </w:r>
      <w:r>
        <w:rPr>
          <w:rFonts w:asciiTheme="minorHAnsi" w:hAnsiTheme="minorHAnsi" w:eastAsiaTheme="majorEastAsia" w:cstheme="minorHAnsi"/>
          <w:bCs/>
          <w:szCs w:val="21"/>
        </w:rPr>
        <w:t>日（</w:t>
      </w:r>
      <w:r>
        <w:rPr>
          <w:rFonts w:hint="eastAsia" w:asciiTheme="minorHAnsi" w:hAnsiTheme="minorHAnsi" w:eastAsiaTheme="majorEastAsia" w:cstheme="minorHAnsi"/>
          <w:bCs/>
          <w:szCs w:val="21"/>
        </w:rPr>
        <w:t>6</w:t>
      </w:r>
      <w:r>
        <w:rPr>
          <w:rFonts w:asciiTheme="minorHAnsi" w:hAnsiTheme="minorHAnsi" w:eastAsiaTheme="majorEastAsia" w:cstheme="minorHAnsi"/>
          <w:bCs/>
          <w:szCs w:val="21"/>
        </w:rPr>
        <w:t>周）</w:t>
      </w:r>
    </w:p>
    <w:p>
      <w:pPr>
        <w:widowControl/>
        <w:spacing w:line="360" w:lineRule="auto"/>
        <w:jc w:val="left"/>
        <w:rPr>
          <w:rFonts w:cs="Calibri" w:asciiTheme="minorHAnsi" w:hAnsiTheme="minorHAnsi"/>
          <w:szCs w:val="21"/>
        </w:rPr>
      </w:pPr>
      <w:r>
        <w:rPr>
          <w:rFonts w:asciiTheme="minorHAnsi" w:hAnsiTheme="minorHAnsi" w:eastAsiaTheme="majorEastAsia" w:cstheme="minorHAnsi"/>
          <w:szCs w:val="21"/>
        </w:rPr>
        <w:br w:type="textWrapping"/>
      </w: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r>
        <w:rPr>
          <w:rFonts w:hint="eastAsia" w:asciiTheme="minorHAnsi" w:hAnsiTheme="minorHAnsi" w:eastAsiaTheme="majorEastAsia" w:cstheme="minorHAnsi"/>
          <w:szCs w:val="21"/>
        </w:rPr>
        <w:br w:type="textWrapping"/>
      </w:r>
      <w:r>
        <w:rPr>
          <w:rFonts w:hint="eastAsia" w:asciiTheme="minorHAnsi" w:hAnsiTheme="minorHAnsi" w:eastAsiaTheme="majorEastAsia" w:cstheme="minorHAnsi"/>
          <w:b/>
          <w:szCs w:val="21"/>
          <w:u w:val="single"/>
        </w:rPr>
        <w:t>第一类：专业学分课程（General Study）</w:t>
      </w:r>
    </w:p>
    <w:p>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szCs w:val="21"/>
        </w:rPr>
        <w:t>英文标准化考试成绩达到项目要求并希望提高专业水平的学生，通过本校、全美国际教育协会、以及</w:t>
      </w:r>
      <w:r>
        <w:rPr>
          <w:rFonts w:hint="eastAsia" w:asciiTheme="minorHAnsi" w:hAnsiTheme="minorHAnsi" w:eastAsiaTheme="majorEastAsia" w:cstheme="minorHAnsi"/>
          <w:szCs w:val="21"/>
        </w:rPr>
        <w:t>乔治华盛顿</w:t>
      </w:r>
      <w:r>
        <w:rPr>
          <w:rFonts w:asciiTheme="minorHAnsi" w:hAnsiTheme="minorHAnsi" w:eastAsiaTheme="majorEastAsia" w:cstheme="minorHAnsi"/>
          <w:szCs w:val="21"/>
        </w:rPr>
        <w:t>大学的共同选拔后，可以</w:t>
      </w:r>
      <w:r>
        <w:rPr>
          <w:rFonts w:hint="eastAsia" w:asciiTheme="minorHAnsi" w:hAnsiTheme="minorHAnsi" w:eastAsiaTheme="majorEastAsia" w:cstheme="minorHAnsi"/>
          <w:szCs w:val="21"/>
        </w:rPr>
        <w:t>选择修读</w:t>
      </w:r>
      <w:r>
        <w:rPr>
          <w:rFonts w:asciiTheme="minorHAnsi" w:hAnsiTheme="minorHAnsi" w:eastAsiaTheme="majorEastAsia" w:cstheme="minorHAnsi"/>
          <w:szCs w:val="21"/>
        </w:rPr>
        <w:t>与本专业相关的专业课程，有6</w:t>
      </w:r>
      <w:r>
        <w:rPr>
          <w:rFonts w:hint="eastAsia" w:asciiTheme="minorHAnsi" w:hAnsiTheme="minorHAnsi" w:eastAsiaTheme="majorEastAsia" w:cstheme="minorHAnsi"/>
          <w:szCs w:val="21"/>
        </w:rPr>
        <w:t>5</w:t>
      </w:r>
      <w:r>
        <w:rPr>
          <w:rFonts w:asciiTheme="minorHAnsi" w:hAnsiTheme="minorHAnsi" w:eastAsiaTheme="majorEastAsia" w:cstheme="minorHAnsi"/>
          <w:szCs w:val="21"/>
        </w:rPr>
        <w:t>0多门课可供选择</w:t>
      </w:r>
      <w:r>
        <w:rPr>
          <w:rFonts w:hint="eastAsia" w:asciiTheme="minorHAnsi" w:hAnsiTheme="minorHAnsi" w:eastAsiaTheme="majorEastAsia" w:cstheme="minorHAnsi"/>
          <w:szCs w:val="21"/>
        </w:rPr>
        <w:t>。选课范围涉及的学科领域很广泛，如：艺术、商科与经济学、国际关系、法律、政府、历史，文化与人文、健康科学、工程、数理科学、学术英语等。</w:t>
      </w:r>
    </w:p>
    <w:p>
      <w:pPr>
        <w:pStyle w:val="17"/>
        <w:widowControl/>
        <w:spacing w:line="360" w:lineRule="auto"/>
        <w:ind w:left="426" w:firstLine="0" w:firstLineChars="0"/>
        <w:jc w:val="left"/>
        <w:rPr>
          <w:rFonts w:asciiTheme="minorHAnsi" w:hAnsiTheme="minorHAnsi" w:cstheme="minorHAnsi"/>
          <w:kern w:val="0"/>
          <w:szCs w:val="21"/>
        </w:rPr>
      </w:pPr>
      <w:r>
        <w:rPr>
          <w:rFonts w:asciiTheme="minorHAnsi" w:hAnsiTheme="minorHAnsi" w:eastAsiaTheme="majorEastAsia" w:cstheme="minorHAnsi"/>
          <w:szCs w:val="21"/>
        </w:rPr>
        <w:t>本科生和研究生均可参加项目，</w:t>
      </w:r>
      <w:r>
        <w:rPr>
          <w:rFonts w:hint="eastAsia" w:ascii="宋体" w:hAnsi="宋体" w:cs="宋体"/>
          <w:kern w:val="0"/>
          <w:szCs w:val="21"/>
        </w:rPr>
        <w:t>本科生必须选择两门专业课，</w:t>
      </w:r>
      <w:r>
        <w:rPr>
          <w:rFonts w:asciiTheme="minorHAnsi" w:hAnsiTheme="minorHAnsi" w:cstheme="minorHAnsi"/>
          <w:kern w:val="0"/>
          <w:szCs w:val="21"/>
        </w:rPr>
        <w:t>每门课3个专业课学</w:t>
      </w:r>
    </w:p>
    <w:p>
      <w:pPr>
        <w:widowControl/>
        <w:spacing w:line="360" w:lineRule="auto"/>
        <w:jc w:val="left"/>
        <w:rPr>
          <w:rFonts w:asciiTheme="minorHAnsi" w:hAnsiTheme="minorHAnsi" w:cstheme="minorHAnsi"/>
          <w:kern w:val="0"/>
          <w:szCs w:val="21"/>
        </w:rPr>
      </w:pPr>
      <w:r>
        <w:rPr>
          <w:rFonts w:asciiTheme="minorHAnsi" w:hAnsiTheme="minorHAnsi" w:cstheme="minorHAnsi"/>
          <w:kern w:val="0"/>
          <w:szCs w:val="21"/>
        </w:rPr>
        <w:t>分，共修读6个学分；研究生可根据自身情况，选择一至两门专业课程，对应3-6个专业课学分。</w:t>
      </w:r>
      <w:r>
        <w:rPr>
          <w:rFonts w:asciiTheme="minorHAnsi" w:hAnsiTheme="minorHAnsi" w:eastAsiaTheme="majorEastAsia" w:cstheme="minorHAnsi"/>
          <w:szCs w:val="21"/>
        </w:rPr>
        <w:t>参加项目的学生与乔治华盛顿大学在读的暑期学生混合编班上课，体验世界一流名校的浓郁学术氛围。</w:t>
      </w:r>
      <w:r>
        <w:rPr>
          <w:rFonts w:hint="eastAsia" w:asciiTheme="minorHAnsi" w:hAnsiTheme="minorHAnsi" w:eastAsiaTheme="majorEastAsia" w:cstheme="minorHAnsi"/>
          <w:szCs w:val="21"/>
        </w:rPr>
        <w:t>课程详情和先修课程的要求，可参考</w:t>
      </w:r>
      <w:r>
        <w:fldChar w:fldCharType="begin"/>
      </w:r>
      <w:r>
        <w:instrText xml:space="preserve"> HYPERLINK "https://my.gwu.edu/mod/pws/subjects.cfm?campId=1&amp;termId=201802" </w:instrText>
      </w:r>
      <w:r>
        <w:fldChar w:fldCharType="separate"/>
      </w:r>
      <w:r>
        <w:rPr>
          <w:rStyle w:val="12"/>
          <w:rFonts w:hint="eastAsia" w:asciiTheme="minorHAnsi" w:hAnsiTheme="minorHAnsi" w:eastAsiaTheme="majorEastAsia" w:cstheme="minorHAnsi"/>
          <w:szCs w:val="21"/>
        </w:rPr>
        <w:t>学校官网</w:t>
      </w:r>
      <w:r>
        <w:rPr>
          <w:rStyle w:val="12"/>
          <w:rFonts w:hint="eastAsia" w:asciiTheme="minorHAnsi" w:hAnsiTheme="minorHAnsi" w:eastAsiaTheme="majorEastAsia" w:cstheme="minorHAnsi"/>
          <w:szCs w:val="21"/>
        </w:rPr>
        <w:fldChar w:fldCharType="end"/>
      </w:r>
      <w:r>
        <w:rPr>
          <w:rFonts w:hint="eastAsia" w:asciiTheme="minorHAnsi" w:hAnsiTheme="minorHAnsi" w:eastAsiaTheme="majorEastAsia" w:cs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（注：学术英语也属于学分课程，培养学生的批判性思维，帮助学生提高学术写作与研究能力，分为本科及研究生级别课程，每门课3学分；</w:t>
      </w:r>
      <w:r>
        <w:rPr>
          <w:rFonts w:asciiTheme="minorHAnsi" w:hAnsiTheme="minorHAnsi"/>
          <w:color w:val="444444"/>
        </w:rPr>
        <w:t>Milken</w:t>
      </w:r>
      <w:r>
        <w:rPr>
          <w:rFonts w:hint="eastAsia" w:asciiTheme="minorHAnsi" w:hAnsiTheme="minorHAnsi" w:eastAsiaTheme="majorEastAsia" w:cstheme="minorHAnsi"/>
          <w:szCs w:val="21"/>
        </w:rPr>
        <w:t>公共卫生学院与GW法学院的课程不可选，另有部分课程可能有专业限制）</w:t>
      </w:r>
      <w:r>
        <w:rPr>
          <w:rFonts w:asciiTheme="minorHAnsi" w:hAnsiTheme="minorHAnsi" w:eastAsiaTheme="majorEastAsia" w:cstheme="minorHAnsi"/>
          <w:szCs w:val="21"/>
        </w:rPr>
        <w:t>。</w:t>
      </w:r>
    </w:p>
    <w:p>
      <w:pPr>
        <w:widowControl/>
        <w:spacing w:line="360" w:lineRule="auto"/>
        <w:ind w:firstLine="420" w:firstLineChars="200"/>
        <w:jc w:val="left"/>
        <w:rPr>
          <w:rFonts w:cs="宋体" w:asciiTheme="minorHAnsi" w:hAnsiTheme="minorHAnsi"/>
          <w:kern w:val="0"/>
          <w:szCs w:val="21"/>
        </w:rPr>
      </w:pPr>
    </w:p>
    <w:p>
      <w:pPr>
        <w:widowControl/>
        <w:spacing w:line="360" w:lineRule="auto"/>
        <w:ind w:firstLine="420" w:firstLineChars="200"/>
        <w:jc w:val="left"/>
        <w:rPr>
          <w:rFonts w:cs="宋体" w:asciiTheme="minorHAnsi" w:hAnsiTheme="minorHAnsi"/>
          <w:kern w:val="0"/>
          <w:szCs w:val="21"/>
        </w:rPr>
      </w:pPr>
      <w:r>
        <w:rPr>
          <w:rFonts w:hint="eastAsia" w:cs="宋体" w:asciiTheme="minorHAnsi" w:hAnsiTheme="minorHAnsi"/>
          <w:kern w:val="0"/>
          <w:szCs w:val="21"/>
        </w:rPr>
        <w:drawing>
          <wp:anchor distT="0" distB="0" distL="114300" distR="114300" simplePos="0" relativeHeight="251671552" behindDoc="0" locked="0" layoutInCell="1" allowOverlap="1">
            <wp:simplePos x="0" y="0"/>
            <wp:positionH relativeFrom="column">
              <wp:posOffset>336550</wp:posOffset>
            </wp:positionH>
            <wp:positionV relativeFrom="paragraph">
              <wp:posOffset>32385</wp:posOffset>
            </wp:positionV>
            <wp:extent cx="4419600" cy="2603500"/>
            <wp:effectExtent l="0" t="0" r="0" b="6350"/>
            <wp:wrapSquare wrapText="bothSides"/>
            <wp:docPr id="3" name="图片 3" descr="C:\Users\Administrator\Downloads\Research-Experien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Administrator\Downloads\Research-Experience.png"/>
                    <pic:cNvPicPr>
                      <a:picLocks noChangeAspect="1" noChangeArrowheads="1"/>
                    </pic:cNvPicPr>
                  </pic:nvPicPr>
                  <pic:blipFill>
                    <a:blip r:embed="rId7"/>
                    <a:srcRect/>
                    <a:stretch>
                      <a:fillRect/>
                    </a:stretch>
                  </pic:blipFill>
                  <pic:spPr>
                    <a:xfrm>
                      <a:off x="0" y="0"/>
                      <a:ext cx="4419600" cy="2603500"/>
                    </a:xfrm>
                    <a:prstGeom prst="rect">
                      <a:avLst/>
                    </a:prstGeom>
                    <a:noFill/>
                    <a:ln w="9525">
                      <a:noFill/>
                      <a:miter lim="800000"/>
                      <a:headEnd/>
                      <a:tailEnd/>
                    </a:ln>
                  </pic:spPr>
                </pic:pic>
              </a:graphicData>
            </a:graphic>
          </wp:anchor>
        </w:drawing>
      </w:r>
    </w:p>
    <w:p>
      <w:pPr>
        <w:widowControl/>
        <w:spacing w:line="360" w:lineRule="auto"/>
        <w:ind w:firstLine="420" w:firstLineChars="200"/>
        <w:jc w:val="left"/>
        <w:rPr>
          <w:rFonts w:cs="宋体" w:asciiTheme="minorHAnsi" w:hAnsiTheme="minorHAnsi"/>
          <w:kern w:val="0"/>
          <w:szCs w:val="21"/>
        </w:rPr>
      </w:pPr>
    </w:p>
    <w:p>
      <w:pPr>
        <w:widowControl/>
        <w:spacing w:line="360" w:lineRule="auto"/>
        <w:ind w:firstLine="420" w:firstLineChars="200"/>
        <w:jc w:val="left"/>
        <w:rPr>
          <w:rFonts w:cs="宋体" w:asciiTheme="minorHAnsi" w:hAnsiTheme="minorHAnsi"/>
          <w:kern w:val="0"/>
          <w:szCs w:val="21"/>
        </w:rPr>
      </w:pPr>
    </w:p>
    <w:p>
      <w:pPr>
        <w:widowControl/>
        <w:spacing w:line="360" w:lineRule="auto"/>
        <w:ind w:firstLine="420" w:firstLineChars="200"/>
        <w:jc w:val="left"/>
        <w:rPr>
          <w:rFonts w:cs="宋体" w:asciiTheme="minorHAnsi" w:hAnsiTheme="minorHAnsi"/>
          <w:kern w:val="0"/>
          <w:szCs w:val="21"/>
        </w:rPr>
      </w:pPr>
    </w:p>
    <w:p>
      <w:pPr>
        <w:widowControl/>
        <w:spacing w:line="360" w:lineRule="auto"/>
        <w:ind w:firstLine="420" w:firstLineChars="200"/>
        <w:jc w:val="left"/>
        <w:rPr>
          <w:rFonts w:cs="宋体" w:asciiTheme="minorHAnsi" w:hAnsiTheme="minorHAnsi"/>
          <w:kern w:val="0"/>
          <w:szCs w:val="21"/>
        </w:rPr>
      </w:pPr>
    </w:p>
    <w:p>
      <w:pPr>
        <w:widowControl/>
        <w:spacing w:line="360" w:lineRule="auto"/>
        <w:ind w:firstLine="420" w:firstLineChars="200"/>
        <w:jc w:val="left"/>
        <w:rPr>
          <w:rFonts w:cs="宋体" w:asciiTheme="minorHAnsi" w:hAnsiTheme="minorHAnsi"/>
          <w:kern w:val="0"/>
          <w:szCs w:val="21"/>
        </w:rPr>
      </w:pPr>
    </w:p>
    <w:p>
      <w:pPr>
        <w:widowControl/>
        <w:spacing w:line="360" w:lineRule="auto"/>
        <w:ind w:firstLine="420" w:firstLineChars="200"/>
        <w:jc w:val="left"/>
        <w:rPr>
          <w:rFonts w:cs="宋体" w:asciiTheme="minorHAnsi" w:hAnsiTheme="minorHAnsi"/>
          <w:kern w:val="0"/>
          <w:szCs w:val="21"/>
        </w:rPr>
      </w:pPr>
    </w:p>
    <w:p>
      <w:pPr>
        <w:widowControl/>
        <w:spacing w:line="360" w:lineRule="auto"/>
        <w:ind w:firstLine="420" w:firstLineChars="200"/>
        <w:jc w:val="left"/>
        <w:rPr>
          <w:rFonts w:cs="宋体" w:asciiTheme="minorHAnsi" w:hAnsiTheme="minorHAnsi"/>
          <w:kern w:val="0"/>
          <w:szCs w:val="21"/>
        </w:rPr>
      </w:pPr>
    </w:p>
    <w:p>
      <w:pPr>
        <w:widowControl/>
        <w:spacing w:line="360" w:lineRule="auto"/>
        <w:ind w:firstLine="420" w:firstLineChars="200"/>
        <w:jc w:val="left"/>
        <w:rPr>
          <w:rFonts w:cs="宋体" w:asciiTheme="minorHAnsi" w:hAnsiTheme="minorHAnsi"/>
          <w:kern w:val="0"/>
          <w:szCs w:val="21"/>
        </w:rPr>
      </w:pPr>
    </w:p>
    <w:p>
      <w:pPr>
        <w:widowControl/>
        <w:spacing w:line="360" w:lineRule="auto"/>
        <w:ind w:firstLine="420" w:firstLineChars="200"/>
        <w:jc w:val="left"/>
        <w:rPr>
          <w:rFonts w:cs="宋体" w:asciiTheme="minorHAnsi" w:hAnsiTheme="minorHAnsi"/>
          <w:kern w:val="0"/>
          <w:szCs w:val="21"/>
        </w:rPr>
      </w:pPr>
    </w:p>
    <w:p>
      <w:pPr>
        <w:widowControl/>
        <w:spacing w:line="360" w:lineRule="auto"/>
        <w:jc w:val="left"/>
        <w:rPr>
          <w:rFonts w:asciiTheme="minorHAnsi" w:hAnsiTheme="minorHAnsi" w:eastAsiaTheme="majorEastAsia" w:cstheme="minorHAnsi"/>
          <w:b/>
          <w:szCs w:val="21"/>
        </w:rPr>
      </w:pPr>
      <w:r>
        <w:rPr>
          <w:rFonts w:hint="eastAsia" w:asciiTheme="minorHAnsi" w:hAnsiTheme="minorHAnsi" w:eastAsiaTheme="majorEastAsia" w:cstheme="minorHAnsi"/>
          <w:b/>
          <w:szCs w:val="21"/>
          <w:u w:val="single"/>
        </w:rPr>
        <w:t>第二类：暑期学术研究项目（Summer Research Experience）</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暑期学术研究项目”项目专门面向国际访学生，旨在向学生介绍美国大学的跨学科研究方法，培养学生在问题分析、文献研究、团队协作、沟通演讲方面的综合能力；提升学生的研究与学术写作技巧；提高学生运用多样研究方法解决不同领域（如统计学、计算机科学、数学、生物信息学等）问题的能力。项目主要包括以下两门课程，每门课3学分：</w:t>
      </w:r>
    </w:p>
    <w:p>
      <w:pPr>
        <w:widowControl/>
        <w:spacing w:line="360" w:lineRule="auto"/>
        <w:ind w:firstLine="422"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b/>
          <w:szCs w:val="21"/>
        </w:rPr>
        <w:t>课程</w:t>
      </w:r>
      <w:r>
        <w:rPr>
          <w:rFonts w:asciiTheme="minorHAnsi" w:hAnsiTheme="minorHAnsi" w:eastAsiaTheme="majorEastAsia" w:cstheme="minorHAnsi"/>
          <w:b/>
          <w:szCs w:val="21"/>
        </w:rPr>
        <w:t>一：数据科学</w:t>
      </w:r>
      <w:r>
        <w:rPr>
          <w:rFonts w:hint="eastAsia" w:asciiTheme="minorHAnsi" w:hAnsiTheme="minorHAnsi" w:eastAsiaTheme="majorEastAsia" w:cstheme="minorHAnsi"/>
          <w:b/>
          <w:szCs w:val="21"/>
        </w:rPr>
        <w:t>入门</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课程涵盖数据科学的基本技术、数据挖掘程序以及基础的统计学模型。自然科学与社会科学的学科研究都需要具备管理与分析大数据的能力，学生将学习如何在这些学科的研究中运用数据科学原则。专业人士会提出一些他们正致力于解决的现实问题，让学生以小组方式来设计解决方案。自然科学领域涉及的主题包括天体物理学、生物信息学和数学等；社会科学领域则包括经济预测、政治竞选活动分析以及地域信息系统（GIS）等。</w:t>
      </w:r>
    </w:p>
    <w:p>
      <w:pPr>
        <w:pStyle w:val="17"/>
        <w:widowControl/>
        <w:spacing w:line="360" w:lineRule="auto"/>
        <w:ind w:left="422" w:firstLine="0"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b/>
          <w:szCs w:val="21"/>
        </w:rPr>
        <w:t>课程二</w:t>
      </w:r>
      <w:r>
        <w:rPr>
          <w:rFonts w:asciiTheme="minorHAnsi" w:hAnsiTheme="minorHAnsi" w:eastAsiaTheme="majorEastAsia" w:cstheme="minorHAnsi"/>
          <w:b/>
          <w:szCs w:val="21"/>
        </w:rPr>
        <w:t>：</w:t>
      </w:r>
      <w:r>
        <w:rPr>
          <w:rFonts w:hint="eastAsia" w:asciiTheme="minorHAnsi" w:hAnsiTheme="minorHAnsi" w:eastAsiaTheme="majorEastAsia" w:cstheme="minorHAnsi"/>
          <w:b/>
          <w:szCs w:val="21"/>
        </w:rPr>
        <w:t>学术写作与研究</w:t>
      </w:r>
    </w:p>
    <w:p>
      <w:pPr>
        <w:pStyle w:val="17"/>
        <w:widowControl/>
        <w:spacing w:line="360" w:lineRule="auto"/>
        <w:ind w:left="422" w:firstLine="0" w:firstLineChars="0"/>
        <w:jc w:val="left"/>
        <w:rPr>
          <w:rFonts w:asciiTheme="minorHAnsi" w:hAnsiTheme="minorHAnsi" w:eastAsiaTheme="majorEastAsia" w:cstheme="minorHAnsi"/>
          <w:szCs w:val="21"/>
        </w:rPr>
      </w:pPr>
      <w:r>
        <w:rPr>
          <w:rFonts w:asciiTheme="minorHAnsi" w:hAnsiTheme="minorHAnsi" w:eastAsiaTheme="majorEastAsia" w:cstheme="minorHAnsi"/>
          <w:szCs w:val="21"/>
        </w:rPr>
        <w:t>写作与沟通是取得学术与职场成功的关键</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该课程旨在向学生</w:t>
      </w:r>
      <w:r>
        <w:rPr>
          <w:rFonts w:hint="eastAsia" w:asciiTheme="minorHAnsi" w:hAnsiTheme="minorHAnsi" w:eastAsiaTheme="majorEastAsia" w:cstheme="minorHAnsi"/>
          <w:szCs w:val="21"/>
        </w:rPr>
        <w:t>介绍</w:t>
      </w:r>
      <w:r>
        <w:rPr>
          <w:rFonts w:asciiTheme="minorHAnsi" w:hAnsiTheme="minorHAnsi" w:eastAsiaTheme="majorEastAsia" w:cstheme="minorHAnsi"/>
          <w:szCs w:val="21"/>
        </w:rPr>
        <w:t>美国大学学术写作</w:t>
      </w:r>
    </w:p>
    <w:p>
      <w:pPr>
        <w:widowControl/>
        <w:spacing w:line="360" w:lineRule="auto"/>
        <w:jc w:val="left"/>
        <w:rPr>
          <w:rFonts w:asciiTheme="minorHAnsi" w:hAnsiTheme="minorHAnsi" w:eastAsiaTheme="majorEastAsia" w:cstheme="minorHAnsi"/>
          <w:szCs w:val="21"/>
        </w:rPr>
      </w:pPr>
      <w:r>
        <w:rPr>
          <w:rFonts w:asciiTheme="minorHAnsi" w:hAnsiTheme="minorHAnsi" w:eastAsiaTheme="majorEastAsia" w:cstheme="minorHAnsi"/>
          <w:szCs w:val="21"/>
        </w:rPr>
        <w:t>的原则与方法。通过</w:t>
      </w:r>
      <w:r>
        <w:rPr>
          <w:rFonts w:hint="eastAsia" w:asciiTheme="minorHAnsi" w:hAnsiTheme="minorHAnsi" w:eastAsiaTheme="majorEastAsia" w:cstheme="minorHAnsi"/>
          <w:szCs w:val="21"/>
        </w:rPr>
        <w:t>学习</w:t>
      </w:r>
      <w:r>
        <w:rPr>
          <w:rFonts w:asciiTheme="minorHAnsi" w:hAnsiTheme="minorHAnsi" w:eastAsiaTheme="majorEastAsia" w:cstheme="minorHAnsi"/>
          <w:szCs w:val="21"/>
        </w:rPr>
        <w:t>，学生将能够理解</w:t>
      </w:r>
      <w:r>
        <w:rPr>
          <w:rFonts w:hint="eastAsia" w:asciiTheme="minorHAnsi" w:hAnsiTheme="minorHAnsi" w:eastAsiaTheme="majorEastAsia" w:cstheme="minorHAnsi"/>
          <w:szCs w:val="21"/>
        </w:rPr>
        <w:t>并</w:t>
      </w:r>
      <w:r>
        <w:rPr>
          <w:rFonts w:asciiTheme="minorHAnsi" w:hAnsiTheme="minorHAnsi" w:eastAsiaTheme="majorEastAsia" w:cstheme="minorHAnsi"/>
          <w:szCs w:val="21"/>
        </w:rPr>
        <w:t>分析写作</w:t>
      </w:r>
      <w:r>
        <w:rPr>
          <w:rFonts w:hint="eastAsia" w:asciiTheme="minorHAnsi" w:hAnsiTheme="minorHAnsi" w:eastAsiaTheme="majorEastAsia" w:cstheme="minorHAnsi"/>
          <w:szCs w:val="21"/>
        </w:rPr>
        <w:t>与</w:t>
      </w:r>
      <w:r>
        <w:rPr>
          <w:rFonts w:asciiTheme="minorHAnsi" w:hAnsiTheme="minorHAnsi" w:eastAsiaTheme="majorEastAsia" w:cstheme="minorHAnsi"/>
          <w:szCs w:val="21"/>
        </w:rPr>
        <w:t>沟通如何</w:t>
      </w:r>
      <w:r>
        <w:rPr>
          <w:rFonts w:hint="eastAsia" w:asciiTheme="minorHAnsi" w:hAnsiTheme="minorHAnsi" w:eastAsiaTheme="majorEastAsia" w:cstheme="minorHAnsi"/>
          <w:szCs w:val="21"/>
        </w:rPr>
        <w:t>解决</w:t>
      </w:r>
      <w:r>
        <w:rPr>
          <w:rFonts w:asciiTheme="minorHAnsi" w:hAnsiTheme="minorHAnsi" w:eastAsiaTheme="majorEastAsia" w:cstheme="minorHAnsi"/>
          <w:szCs w:val="21"/>
        </w:rPr>
        <w:t>统计学和数据科学中的典型问题</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并提供修辞</w:t>
      </w:r>
      <w:r>
        <w:rPr>
          <w:rFonts w:hint="eastAsia" w:asciiTheme="minorHAnsi" w:hAnsiTheme="minorHAnsi" w:eastAsiaTheme="majorEastAsia" w:cstheme="minorHAnsi"/>
          <w:szCs w:val="21"/>
        </w:rPr>
        <w:t>情境</w:t>
      </w:r>
      <w:r>
        <w:rPr>
          <w:rFonts w:asciiTheme="minorHAnsi" w:hAnsiTheme="minorHAnsi" w:eastAsiaTheme="majorEastAsia" w:cstheme="minorHAnsi"/>
          <w:szCs w:val="21"/>
        </w:rPr>
        <w:t>方面的支持。学生还将</w:t>
      </w:r>
      <w:r>
        <w:rPr>
          <w:rFonts w:hint="eastAsia" w:asciiTheme="minorHAnsi" w:hAnsiTheme="minorHAnsi" w:eastAsiaTheme="majorEastAsia" w:cstheme="minorHAnsi"/>
          <w:szCs w:val="21"/>
        </w:rPr>
        <w:t>掌握在</w:t>
      </w:r>
      <w:r>
        <w:rPr>
          <w:rFonts w:asciiTheme="minorHAnsi" w:hAnsiTheme="minorHAnsi" w:eastAsiaTheme="majorEastAsia" w:cstheme="minorHAnsi"/>
          <w:szCs w:val="21"/>
        </w:rPr>
        <w:t>标准化的数据科学任务中所需的沟通</w:t>
      </w:r>
      <w:r>
        <w:rPr>
          <w:rFonts w:hint="eastAsia" w:asciiTheme="minorHAnsi" w:hAnsiTheme="minorHAnsi" w:eastAsiaTheme="majorEastAsia" w:cstheme="minorHAnsi"/>
          <w:szCs w:val="21"/>
        </w:rPr>
        <w:t>技能</w:t>
      </w:r>
      <w:r>
        <w:rPr>
          <w:rFonts w:asciiTheme="minorHAnsi" w:hAnsiTheme="minorHAnsi" w:eastAsiaTheme="majorEastAsia" w:cstheme="minorHAnsi"/>
          <w:szCs w:val="21"/>
        </w:rPr>
        <w:t>，如提出并记录问题</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描述和解释数据</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以及讨论和</w:t>
      </w:r>
      <w:r>
        <w:rPr>
          <w:rFonts w:hint="eastAsia" w:asciiTheme="minorHAnsi" w:hAnsiTheme="minorHAnsi" w:eastAsiaTheme="majorEastAsia" w:cstheme="minorHAnsi"/>
          <w:szCs w:val="21"/>
        </w:rPr>
        <w:t>演示所选主题的研究成果。该课程为小班授课，使学生有充足的机会与老师及同学进行互动。</w:t>
      </w:r>
      <w:r>
        <w:rPr>
          <w:rFonts w:asciiTheme="minorHAnsi" w:hAnsiTheme="minorHAnsi" w:eastAsiaTheme="majorEastAsia" w:cstheme="minorHAnsi"/>
          <w:szCs w:val="21"/>
        </w:rPr>
        <w:br w:type="textWrapping"/>
      </w:r>
    </w:p>
    <w:p>
      <w:pPr>
        <w:spacing w:line="360" w:lineRule="auto"/>
        <w:ind w:firstLine="420" w:firstLineChars="200"/>
        <w:rPr>
          <w:rFonts w:cs="Calibri" w:asciiTheme="minorHAnsi" w:hAnsiTheme="minorHAnsi"/>
          <w:szCs w:val="21"/>
        </w:rPr>
      </w:pPr>
      <w:r>
        <w:rPr>
          <w:rFonts w:hint="eastAsia" w:cs="Calibri" w:asciiTheme="minorHAnsi" w:hAnsiTheme="minorHAnsi"/>
          <w:szCs w:val="21"/>
        </w:rPr>
        <w:t>项目学生均可获得</w:t>
      </w:r>
      <w:r>
        <w:rPr>
          <w:rFonts w:hint="eastAsia" w:asciiTheme="minorHAnsi" w:hAnsiTheme="minorHAnsi" w:eastAsiaTheme="majorEastAsia" w:cstheme="minorHAnsi"/>
          <w:szCs w:val="21"/>
        </w:rPr>
        <w:t>乔治华盛顿大学</w:t>
      </w:r>
      <w:r>
        <w:rPr>
          <w:rFonts w:hint="eastAsia" w:cs="Calibri" w:asciiTheme="minorHAnsi" w:hAnsiTheme="minorHAnsi"/>
          <w:szCs w:val="21"/>
        </w:rPr>
        <w:t>正式注册的学生证，凭借学生证可在项目期内，按校方规定使用学校的校园设施与教育资源，包括图书馆、健身房、活动中心等。</w:t>
      </w:r>
    </w:p>
    <w:p>
      <w:pPr>
        <w:widowControl/>
        <w:spacing w:line="360" w:lineRule="auto"/>
        <w:jc w:val="left"/>
        <w:rPr>
          <w:rFonts w:asciiTheme="minorHAnsi" w:hAnsiTheme="minorHAnsi" w:eastAsiaTheme="majorEastAsia" w:cstheme="minorHAnsi"/>
          <w:szCs w:val="21"/>
        </w:rPr>
      </w:pPr>
    </w:p>
    <w:p>
      <w:pPr>
        <w:spacing w:line="360" w:lineRule="auto"/>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项目证书</w:t>
      </w:r>
      <w:r>
        <w:rPr>
          <w:rFonts w:cs="Calibri" w:asciiTheme="minorHAnsi" w:hAnsi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参加项目的学生</w:t>
      </w:r>
      <w:r>
        <w:rPr>
          <w:rFonts w:asciiTheme="minorHAnsi" w:hAnsiTheme="minorHAnsi" w:eastAsiaTheme="majorEastAsia" w:cstheme="minorHAnsi"/>
          <w:szCs w:val="21"/>
        </w:rPr>
        <w:t>由</w:t>
      </w:r>
      <w:r>
        <w:rPr>
          <w:rFonts w:hint="eastAsia" w:asciiTheme="minorHAnsi" w:hAnsiTheme="minorHAnsi" w:eastAsiaTheme="majorEastAsia" w:cstheme="minorHAnsi"/>
          <w:szCs w:val="21"/>
        </w:rPr>
        <w:t>乔治华盛顿大学</w:t>
      </w:r>
      <w:r>
        <w:rPr>
          <w:rFonts w:asciiTheme="minorHAnsi" w:hAnsiTheme="minorHAnsi" w:eastAsiaTheme="majorEastAsia" w:cstheme="minorHAnsi"/>
          <w:szCs w:val="21"/>
        </w:rPr>
        <w:t>进行统一的学术管理与学术考核</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顺利完成课程后可获得</w:t>
      </w:r>
      <w:r>
        <w:rPr>
          <w:rFonts w:hint="eastAsia" w:asciiTheme="minorHAnsi" w:hAnsiTheme="minorHAnsi" w:eastAsiaTheme="majorEastAsia" w:cstheme="minorHAnsi"/>
          <w:szCs w:val="21"/>
        </w:rPr>
        <w:t>正式的学分与</w:t>
      </w:r>
      <w:r>
        <w:rPr>
          <w:rFonts w:asciiTheme="minorHAnsi" w:hAnsiTheme="minorHAnsi" w:eastAsiaTheme="majorEastAsia" w:cstheme="minorHAnsi"/>
          <w:szCs w:val="21"/>
        </w:rPr>
        <w:t>成绩单。</w:t>
      </w:r>
    </w:p>
    <w:p>
      <w:pPr>
        <w:spacing w:line="360" w:lineRule="auto"/>
        <w:rPr>
          <w:rFonts w:cs="Calibri" w:asciiTheme="minorHAnsi" w:hAnsiTheme="minorHAnsi"/>
          <w:sz w:val="22"/>
          <w:szCs w:val="22"/>
        </w:rPr>
      </w:pP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2"/>
        <w:gridCol w:w="6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1952"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570" w:type="dxa"/>
          </w:tcPr>
          <w:p>
            <w:pPr>
              <w:spacing w:line="360" w:lineRule="auto"/>
              <w:rPr>
                <w:rFonts w:asciiTheme="minorHAnsi" w:hAnsiTheme="minorHAnsi" w:eastAsiaTheme="majorEastAsia" w:cstheme="minorHAnsi"/>
                <w:szCs w:val="21"/>
                <w:u w:val="single"/>
              </w:rPr>
            </w:pPr>
            <w:r>
              <w:rPr>
                <w:rFonts w:hint="eastAsia" w:asciiTheme="minorHAnsi" w:hAnsiTheme="minorHAnsi" w:eastAsiaTheme="majorEastAsia" w:cstheme="minorHAnsi"/>
                <w:szCs w:val="21"/>
                <w:u w:val="single"/>
              </w:rPr>
              <w:t>专业学分课程</w:t>
            </w:r>
          </w:p>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本科生：约为7,380美元（约合人民币5.2万元）</w:t>
            </w:r>
          </w:p>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研究生：选修一门课约为4,842美元（约合人民币3.4万元）；选修两门课的费用与本科生相同注：</w:t>
            </w:r>
          </w:p>
          <w:p>
            <w:pPr>
              <w:spacing w:line="360" w:lineRule="auto"/>
              <w:rPr>
                <w:rFonts w:asciiTheme="minorHAnsi" w:hAnsiTheme="minorHAnsi" w:eastAsiaTheme="majorEastAsia" w:cstheme="minorHAnsi"/>
                <w:szCs w:val="21"/>
                <w:u w:val="single"/>
              </w:rPr>
            </w:pPr>
            <w:r>
              <w:rPr>
                <w:rFonts w:hint="eastAsia" w:asciiTheme="minorHAnsi" w:hAnsiTheme="minorHAnsi" w:eastAsiaTheme="majorEastAsia" w:cstheme="minorHAnsi"/>
                <w:szCs w:val="21"/>
                <w:u w:val="single"/>
              </w:rPr>
              <w:t>暑期学术研究项目</w:t>
            </w:r>
            <w:r>
              <w:rPr>
                <w:rFonts w:hint="eastAsia" w:asciiTheme="minorHAnsi" w:hAnsiTheme="minorHAnsi" w:eastAsiaTheme="majorEastAsia" w:cstheme="minorHAnsi"/>
                <w:szCs w:val="21"/>
              </w:rPr>
              <w:t>：约为7,380美元（约合人民币5.2万元）</w:t>
            </w:r>
          </w:p>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注：</w:t>
            </w:r>
            <w:r>
              <w:rPr>
                <w:rFonts w:hint="eastAsia" w:cs="Calibri" w:asciiTheme="minorHAnsi" w:hAnsiTheme="minorHAnsi"/>
                <w:bCs/>
                <w:color w:val="000000" w:themeColor="text1"/>
                <w:szCs w:val="21"/>
                <w14:textFill>
                  <w14:solidFill>
                    <w14:schemeClr w14:val="tx1"/>
                  </w14:solidFill>
                </w14:textFill>
              </w:rPr>
              <w:t>通过</w:t>
            </w:r>
            <w:r>
              <w:rPr>
                <w:rFonts w:cs="Calibri" w:asciiTheme="minorHAnsi" w:hAnsiTheme="minorHAnsi"/>
                <w:bCs/>
                <w:color w:val="000000" w:themeColor="text1"/>
                <w:szCs w:val="21"/>
                <w14:textFill>
                  <w14:solidFill>
                    <w14:schemeClr w14:val="tx1"/>
                  </w14:solidFill>
                </w14:textFill>
              </w:rPr>
              <w:t>全美国际教育协会选拔的</w:t>
            </w:r>
            <w:r>
              <w:rPr>
                <w:rFonts w:hint="eastAsia" w:cs="Calibri" w:asciiTheme="minorHAnsi" w:hAnsiTheme="minorHAnsi"/>
                <w:bCs/>
                <w:color w:val="000000" w:themeColor="text1"/>
                <w:szCs w:val="21"/>
                <w14:textFill>
                  <w14:solidFill>
                    <w14:schemeClr w14:val="tx1"/>
                  </w14:solidFill>
                </w14:textFill>
              </w:rPr>
              <w:t>学生</w:t>
            </w:r>
            <w:r>
              <w:rPr>
                <w:rFonts w:hint="eastAsia" w:cs="Calibri" w:asciiTheme="minorHAnsi" w:hAnsiTheme="minorHAnsi"/>
                <w:bCs/>
                <w:szCs w:val="21"/>
              </w:rPr>
              <w:t>，可享</w:t>
            </w:r>
            <w:r>
              <w:rPr>
                <w:rFonts w:hint="eastAsia" w:asciiTheme="minorHAnsi" w:hAnsiTheme="minorHAnsi" w:eastAsiaTheme="majorEastAsia" w:cstheme="minorHAnsi"/>
                <w:bCs/>
                <w:szCs w:val="21"/>
              </w:rPr>
              <w:t>乔治</w:t>
            </w:r>
            <w:r>
              <w:rPr>
                <w:rFonts w:asciiTheme="minorHAnsi" w:hAnsiTheme="minorHAnsi" w:eastAsiaTheme="majorEastAsia" w:cstheme="minorHAnsi"/>
                <w:bCs/>
                <w:szCs w:val="21"/>
              </w:rPr>
              <w:t>华盛顿大学</w:t>
            </w:r>
            <w:r>
              <w:rPr>
                <w:rFonts w:hint="eastAsia" w:cs="Calibri" w:asciiTheme="minorHAnsi" w:hAnsiTheme="minorHAnsi"/>
                <w:bCs/>
                <w:szCs w:val="21"/>
              </w:rPr>
              <w:t>50%学费减免，以上均为减免后的费用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2"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570"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学费、杂费、医疗与意外保险、接机、及项目服务费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2"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570"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国际机票、签证费、住宿费与餐费、以及其它个人花费</w:t>
            </w:r>
          </w:p>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注：</w:t>
            </w:r>
            <w:r>
              <w:rPr>
                <w:rFonts w:hint="eastAsia" w:asciiTheme="minorHAnsi" w:hAnsiTheme="minorHAnsi" w:eastAsiaTheme="majorEastAsia" w:cstheme="minorHAnsi"/>
                <w:bCs/>
                <w:szCs w:val="21"/>
              </w:rPr>
              <w:t>乔治</w:t>
            </w:r>
            <w:r>
              <w:rPr>
                <w:rFonts w:asciiTheme="minorHAnsi" w:hAnsiTheme="minorHAnsi" w:eastAsiaTheme="majorEastAsia" w:cstheme="minorHAnsi"/>
                <w:bCs/>
                <w:szCs w:val="21"/>
              </w:rPr>
              <w:t>华盛顿大学</w:t>
            </w:r>
            <w:r>
              <w:rPr>
                <w:rFonts w:hint="eastAsia" w:asciiTheme="minorHAnsi" w:hAnsiTheme="minorHAnsi" w:eastAsiaTheme="majorEastAsia" w:cstheme="minorHAnsi"/>
                <w:bCs/>
                <w:szCs w:val="21"/>
              </w:rPr>
              <w:t>暑期校内住宿，6周约为2,</w:t>
            </w:r>
            <w:r>
              <w:rPr>
                <w:rFonts w:asciiTheme="minorHAnsi" w:hAnsiTheme="minorHAnsi" w:eastAsiaTheme="majorEastAsia" w:cstheme="minorHAnsi"/>
                <w:bCs/>
                <w:szCs w:val="21"/>
              </w:rPr>
              <w:t>084</w:t>
            </w:r>
            <w:r>
              <w:rPr>
                <w:rFonts w:hint="eastAsia" w:asciiTheme="minorHAnsi" w:hAnsiTheme="minorHAnsi" w:eastAsiaTheme="majorEastAsia" w:cstheme="minorHAnsi"/>
                <w:bCs/>
                <w:szCs w:val="21"/>
              </w:rPr>
              <w:t>美元.</w:t>
            </w:r>
          </w:p>
        </w:tc>
      </w:tr>
    </w:tbl>
    <w:p>
      <w:pPr>
        <w:widowControl/>
        <w:spacing w:line="360" w:lineRule="auto"/>
        <w:jc w:val="left"/>
        <w:rPr>
          <w:rFonts w:asciiTheme="minorHAnsi" w:hAnsiTheme="minorHAnsi" w:eastAsiaTheme="majorEastAsia" w:cstheme="minorHAnsi"/>
          <w:kern w:val="0"/>
          <w:szCs w:val="21"/>
        </w:rPr>
      </w:pPr>
    </w:p>
    <w:p>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 项目申请</w:t>
      </w:r>
    </w:p>
    <w:p>
      <w:pPr>
        <w:pStyle w:val="16"/>
        <w:numPr>
          <w:ilvl w:val="0"/>
          <w:numId w:val="5"/>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项目名额</w:t>
      </w:r>
    </w:p>
    <w:p>
      <w:pPr>
        <w:widowControl/>
        <w:spacing w:line="360" w:lineRule="auto"/>
        <w:ind w:firstLine="420"/>
        <w:jc w:val="left"/>
        <w:rPr>
          <w:rFonts w:asciiTheme="minorHAnsi" w:hAnsiTheme="minorHAnsi" w:eastAsiaTheme="majorEastAsia" w:cstheme="minorHAnsi"/>
          <w:szCs w:val="21"/>
        </w:rPr>
      </w:pPr>
      <w:r>
        <w:rPr>
          <w:rFonts w:asciiTheme="minorHAnsi" w:hAnsiTheme="minorHAnsi" w:eastAsiaTheme="majorEastAsia" w:cstheme="minorHAnsi"/>
          <w:kern w:val="0"/>
          <w:szCs w:val="21"/>
        </w:rPr>
        <w:t>依据</w:t>
      </w:r>
      <w:r>
        <w:rPr>
          <w:rFonts w:hint="eastAsia" w:asciiTheme="minorHAnsi" w:hAnsiTheme="minorHAnsi" w:eastAsiaTheme="majorEastAsia" w:cstheme="minorHAnsi"/>
          <w:bCs/>
          <w:szCs w:val="21"/>
        </w:rPr>
        <w:t>乔治</w:t>
      </w:r>
      <w:r>
        <w:rPr>
          <w:rFonts w:asciiTheme="minorHAnsi" w:hAnsiTheme="minorHAnsi" w:eastAsiaTheme="majorEastAsia" w:cstheme="minorHAnsi"/>
          <w:bCs/>
          <w:szCs w:val="21"/>
        </w:rPr>
        <w:t>华盛顿大学</w:t>
      </w:r>
      <w:r>
        <w:rPr>
          <w:rFonts w:asciiTheme="minorHAnsi" w:hAnsiTheme="minorHAnsi" w:eastAsiaTheme="majorEastAsia" w:cstheme="minorHAnsi"/>
          <w:kern w:val="0"/>
          <w:szCs w:val="21"/>
        </w:rPr>
        <w:t>的访学学生接收能力</w:t>
      </w:r>
      <w:r>
        <w:rPr>
          <w:rFonts w:hint="eastAsia" w:ascii="Calibri" w:hAnsi="Calibri" w:cs="Calibri"/>
          <w:szCs w:val="21"/>
        </w:rPr>
        <w:t>，我校选拔名额为</w:t>
      </w:r>
      <w:r>
        <w:rPr>
          <w:rFonts w:hint="eastAsia" w:ascii="Calibri" w:hAnsi="Calibri" w:cs="Calibri"/>
          <w:szCs w:val="21"/>
          <w:lang w:val="en-US" w:eastAsia="zh-CN"/>
        </w:rPr>
        <w:t>5</w:t>
      </w:r>
      <w:r>
        <w:rPr>
          <w:rFonts w:hint="eastAsia" w:ascii="Calibri" w:hAnsi="Calibri" w:cs="Calibri"/>
          <w:szCs w:val="21"/>
        </w:rPr>
        <w:t>名。</w:t>
      </w:r>
    </w:p>
    <w:p>
      <w:pPr>
        <w:pStyle w:val="16"/>
        <w:widowControl/>
        <w:numPr>
          <w:ilvl w:val="0"/>
          <w:numId w:val="5"/>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项目申请截止日期</w:t>
      </w:r>
      <w:r>
        <w:rPr>
          <w:rFonts w:hint="eastAsia" w:asciiTheme="minorHAnsi" w:hAnsiTheme="minorHAnsi" w:eastAsiaTheme="majorEastAsia" w:cstheme="minorHAnsi"/>
          <w:kern w:val="0"/>
          <w:szCs w:val="21"/>
        </w:rPr>
        <w:t>：2020年</w:t>
      </w:r>
      <w:r>
        <w:rPr>
          <w:rFonts w:hint="eastAsia" w:asciiTheme="minorHAnsi" w:hAnsiTheme="minorHAnsi" w:eastAsiaTheme="majorEastAsia" w:cstheme="minorHAnsi"/>
          <w:kern w:val="0"/>
          <w:szCs w:val="21"/>
          <w:lang w:val="en-US" w:eastAsia="zh-CN"/>
        </w:rPr>
        <w:t>4</w:t>
      </w:r>
      <w:r>
        <w:rPr>
          <w:rFonts w:hint="eastAsia" w:asciiTheme="minorHAnsi" w:hAnsiTheme="minorHAnsi" w:eastAsiaTheme="majorEastAsia" w:cstheme="minorHAnsi"/>
          <w:kern w:val="0"/>
          <w:szCs w:val="21"/>
        </w:rPr>
        <w:t>月</w:t>
      </w:r>
      <w:r>
        <w:rPr>
          <w:rFonts w:hint="eastAsia" w:asciiTheme="minorHAnsi" w:hAnsiTheme="minorHAnsi" w:eastAsiaTheme="majorEastAsia" w:cstheme="minorHAnsi"/>
          <w:kern w:val="0"/>
          <w:szCs w:val="21"/>
          <w:lang w:val="en-US" w:eastAsia="zh-CN"/>
        </w:rPr>
        <w:t>30</w:t>
      </w:r>
      <w:r>
        <w:rPr>
          <w:rFonts w:hint="eastAsia" w:asciiTheme="minorHAnsi" w:hAnsiTheme="minorHAnsi" w:eastAsiaTheme="majorEastAsia" w:cstheme="minorHAnsi"/>
          <w:kern w:val="0"/>
          <w:szCs w:val="21"/>
        </w:rPr>
        <w:t>日</w:t>
      </w:r>
    </w:p>
    <w:p>
      <w:pPr>
        <w:pStyle w:val="16"/>
        <w:numPr>
          <w:ilvl w:val="0"/>
          <w:numId w:val="5"/>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选拔要求</w:t>
      </w:r>
    </w:p>
    <w:p>
      <w:pPr>
        <w:pStyle w:val="16"/>
        <w:numPr>
          <w:ilvl w:val="0"/>
          <w:numId w:val="6"/>
        </w:numPr>
        <w:spacing w:line="360" w:lineRule="auto"/>
        <w:ind w:firstLineChars="0"/>
        <w:rPr>
          <w:rFonts w:asciiTheme="minorHAnsi" w:hAnsiTheme="minorHAnsi" w:eastAsiaTheme="majorEastAsia" w:cstheme="minorHAnsi"/>
          <w:szCs w:val="21"/>
        </w:rPr>
      </w:pPr>
      <w:r>
        <w:rPr>
          <w:rFonts w:asciiTheme="minorHAnsi" w:hAnsiTheme="minorHAnsi" w:eastAsiaTheme="majorEastAsia" w:cstheme="minorHAnsi"/>
          <w:szCs w:val="21"/>
        </w:rPr>
        <w:t>仅限本校全日制在校生；且成绩优异、道德品质好，在校期间未受过纪律处分，身</w:t>
      </w:r>
    </w:p>
    <w:p>
      <w:pPr>
        <w:pStyle w:val="16"/>
        <w:spacing w:line="360" w:lineRule="auto"/>
        <w:ind w:left="360" w:firstLine="0" w:firstLineChars="0"/>
        <w:rPr>
          <w:rFonts w:asciiTheme="minorHAnsi" w:hAnsiTheme="minorHAnsi" w:eastAsiaTheme="majorEastAsia" w:cstheme="minorHAnsi"/>
          <w:szCs w:val="21"/>
        </w:rPr>
      </w:pPr>
      <w:r>
        <w:rPr>
          <w:rFonts w:asciiTheme="minorHAnsi" w:hAnsiTheme="minorHAnsi" w:eastAsiaTheme="majorEastAsia" w:cstheme="minorHAnsi"/>
          <w:szCs w:val="21"/>
        </w:rPr>
        <w:t>心健康，能顺利完成</w:t>
      </w:r>
      <w:r>
        <w:rPr>
          <w:rFonts w:hint="eastAsia" w:asciiTheme="minorHAnsi" w:hAnsiTheme="minorHAnsi" w:eastAsiaTheme="majorEastAsia" w:cstheme="minorHAnsi"/>
          <w:szCs w:val="21"/>
        </w:rPr>
        <w:t>海外</w:t>
      </w:r>
      <w:r>
        <w:rPr>
          <w:rFonts w:asciiTheme="minorHAnsi" w:hAnsiTheme="minorHAnsi" w:eastAsiaTheme="majorEastAsia" w:cstheme="minorHAnsi"/>
          <w:szCs w:val="21"/>
        </w:rPr>
        <w:t>学习任务；</w:t>
      </w:r>
    </w:p>
    <w:p>
      <w:pPr>
        <w:pStyle w:val="16"/>
        <w:numPr>
          <w:ilvl w:val="0"/>
          <w:numId w:val="6"/>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年龄：学生开课时需已满18岁</w:t>
      </w:r>
    </w:p>
    <w:p>
      <w:pPr>
        <w:pStyle w:val="16"/>
        <w:numPr>
          <w:ilvl w:val="0"/>
          <w:numId w:val="6"/>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语言要求：</w:t>
      </w:r>
      <w:r>
        <w:rPr>
          <w:rFonts w:asciiTheme="minorHAnsi" w:hAnsiTheme="minorHAnsi" w:eastAsiaTheme="majorEastAsia" w:cstheme="minorHAnsi"/>
          <w:szCs w:val="21"/>
        </w:rPr>
        <w:t>托福80</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或雅思6.</w:t>
      </w:r>
      <w:r>
        <w:rPr>
          <w:rFonts w:hint="eastAsia" w:asciiTheme="minorHAnsi" w:hAnsiTheme="minorHAnsi" w:eastAsiaTheme="majorEastAsia" w:cstheme="minorHAnsi"/>
          <w:szCs w:val="21"/>
        </w:rPr>
        <w:t>0（单项不低于5.0）;暑期学术研究课程可接受具有大学英语四级493分的学生；</w:t>
      </w:r>
    </w:p>
    <w:p>
      <w:pPr>
        <w:pStyle w:val="16"/>
        <w:numPr>
          <w:ilvl w:val="0"/>
          <w:numId w:val="6"/>
        </w:numPr>
        <w:spacing w:line="360" w:lineRule="auto"/>
        <w:ind w:firstLineChars="0"/>
        <w:rPr>
          <w:rFonts w:asciiTheme="minorHAnsi" w:hAnsiTheme="minorHAnsi" w:eastAsiaTheme="majorEastAsia" w:cstheme="minorHAnsi"/>
          <w:szCs w:val="21"/>
        </w:rPr>
      </w:pPr>
      <w:r>
        <w:rPr>
          <w:rFonts w:asciiTheme="minorHAnsi" w:hAnsiTheme="minorHAnsi" w:eastAsiaTheme="majorEastAsia" w:cstheme="minorHAnsi"/>
          <w:szCs w:val="21"/>
        </w:rPr>
        <w:t>家庭具有一定经济基础，能够提供访学所需学费及生活费；</w:t>
      </w:r>
    </w:p>
    <w:p>
      <w:pPr>
        <w:pStyle w:val="16"/>
        <w:numPr>
          <w:ilvl w:val="0"/>
          <w:numId w:val="6"/>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szCs w:val="21"/>
        </w:rPr>
        <w:t>通过全美国际教育协会的项目面试、</w:t>
      </w:r>
      <w:r>
        <w:rPr>
          <w:rFonts w:hint="eastAsia" w:asciiTheme="minorHAnsi" w:hAnsiTheme="minorHAnsi" w:eastAsiaTheme="majorEastAsia" w:cstheme="minorHAnsi"/>
          <w:szCs w:val="21"/>
        </w:rPr>
        <w:t>美方</w:t>
      </w:r>
      <w:r>
        <w:rPr>
          <w:rFonts w:asciiTheme="minorHAnsi" w:hAnsiTheme="minorHAnsi" w:eastAsiaTheme="majorEastAsia" w:cstheme="minorHAnsi"/>
          <w:szCs w:val="21"/>
        </w:rPr>
        <w:t>大学的学术审核、以及我校院系及国际交流处的派出资格审核</w:t>
      </w:r>
      <w:r>
        <w:rPr>
          <w:rFonts w:hint="eastAsia" w:asciiTheme="minorHAnsi" w:hAnsiTheme="minorHAnsi" w:eastAsiaTheme="majorEastAsia" w:cstheme="minorHAnsi"/>
          <w:szCs w:val="21"/>
        </w:rPr>
        <w:t>。</w:t>
      </w:r>
    </w:p>
    <w:p>
      <w:pPr>
        <w:pStyle w:val="16"/>
        <w:numPr>
          <w:ilvl w:val="0"/>
          <w:numId w:val="7"/>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项目申请录取方式和报名流程</w:t>
      </w:r>
    </w:p>
    <w:p>
      <w:pPr>
        <w:pStyle w:val="16"/>
        <w:numPr>
          <w:ilvl w:val="0"/>
          <w:numId w:val="8"/>
        </w:numPr>
        <w:spacing w:line="360" w:lineRule="auto"/>
        <w:ind w:firstLineChars="0"/>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学生本人提出申请，在学校国际合作交流处（外事处）报名；</w:t>
      </w:r>
    </w:p>
    <w:p>
      <w:pPr>
        <w:pStyle w:val="16"/>
        <w:numPr>
          <w:ilvl w:val="0"/>
          <w:numId w:val="8"/>
        </w:numPr>
        <w:spacing w:line="360" w:lineRule="auto"/>
        <w:ind w:firstLineChars="0"/>
        <w:jc w:val="left"/>
        <w:rPr>
          <w:rFonts w:asciiTheme="minorHAnsi" w:hAnsiTheme="minorHAnsi" w:eastAsiaTheme="majorEastAsia" w:cstheme="minorHAnsi"/>
          <w:kern w:val="0"/>
          <w:szCs w:val="21"/>
        </w:rPr>
      </w:pPr>
      <w:r>
        <w:rPr>
          <w:rFonts w:asciiTheme="minorHAnsi" w:hAnsiTheme="minorHAnsi" w:eastAsiaTheme="majorEastAsia" w:cstheme="minorHAnsi"/>
          <w:szCs w:val="21"/>
        </w:rPr>
        <w:t>同时登录项目选拔管理机构 -- 全美国际教育协会网站</w:t>
      </w:r>
      <w:r>
        <w:fldChar w:fldCharType="begin"/>
      </w:r>
      <w:r>
        <w:instrText xml:space="preserve"> HYPERLINK "http://www.usiea.org" </w:instrText>
      </w:r>
      <w:r>
        <w:fldChar w:fldCharType="separate"/>
      </w:r>
      <w:r>
        <w:rPr>
          <w:rStyle w:val="12"/>
          <w:rFonts w:hint="eastAsia" w:asciiTheme="minorHAnsi" w:hAnsiTheme="minorHAnsi" w:eastAsiaTheme="majorEastAsia" w:cstheme="minorHAnsi"/>
          <w:szCs w:val="21"/>
        </w:rPr>
        <w:t>www.usiea.org</w:t>
      </w:r>
      <w:r>
        <w:rPr>
          <w:rStyle w:val="12"/>
          <w:rFonts w:hint="eastAsia" w:asciiTheme="minorHAnsi" w:hAnsiTheme="minorHAnsi" w:eastAsiaTheme="majorEastAsia" w:cstheme="minorHAnsi"/>
          <w:szCs w:val="21"/>
        </w:rPr>
        <w:fldChar w:fldCharType="end"/>
      </w: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填写《</w:t>
      </w:r>
      <w:r>
        <w:rPr>
          <w:rFonts w:hint="eastAsia" w:asciiTheme="minorHAnsi" w:hAnsiTheme="minorHAnsi" w:eastAsiaTheme="majorEastAsia" w:cstheme="minorHAnsi"/>
          <w:szCs w:val="21"/>
        </w:rPr>
        <w:t>世界</w:t>
      </w:r>
      <w:r>
        <w:rPr>
          <w:rFonts w:asciiTheme="minorHAnsi" w:hAnsiTheme="minorHAnsi" w:eastAsiaTheme="majorEastAsia" w:cstheme="minorHAnsi"/>
          <w:szCs w:val="21"/>
        </w:rPr>
        <w:t>名校访学20</w:t>
      </w:r>
      <w:r>
        <w:rPr>
          <w:rFonts w:hint="eastAsia" w:asciiTheme="minorHAnsi" w:hAnsiTheme="minorHAnsi" w:eastAsiaTheme="majorEastAsia" w:cstheme="minorHAnsi"/>
          <w:szCs w:val="21"/>
        </w:rPr>
        <w:t>20</w:t>
      </w:r>
      <w:r>
        <w:rPr>
          <w:rFonts w:asciiTheme="minorHAnsi" w:hAnsiTheme="minorHAnsi" w:eastAsiaTheme="majorEastAsia" w:cstheme="minorHAnsi"/>
          <w:szCs w:val="21"/>
        </w:rPr>
        <w:t>-20</w:t>
      </w:r>
      <w:r>
        <w:rPr>
          <w:rFonts w:hint="eastAsia" w:asciiTheme="minorHAnsi" w:hAnsiTheme="minorHAnsi" w:eastAsiaTheme="majorEastAsia" w:cstheme="minorHAnsi"/>
          <w:szCs w:val="21"/>
        </w:rPr>
        <w:t>21</w:t>
      </w:r>
      <w:r>
        <w:rPr>
          <w:rFonts w:asciiTheme="minorHAnsi" w:hAnsiTheme="minorHAnsi" w:eastAsiaTheme="majorEastAsia" w:cstheme="minorHAnsi"/>
          <w:szCs w:val="21"/>
        </w:rPr>
        <w:t>学年</w:t>
      </w:r>
      <w:r>
        <w:rPr>
          <w:rFonts w:hint="eastAsia" w:asciiTheme="minorHAnsi" w:hAnsiTheme="minorHAnsi" w:eastAsiaTheme="majorEastAsia" w:cstheme="minorHAnsi"/>
          <w:szCs w:val="21"/>
        </w:rPr>
        <w:t>夏秋</w:t>
      </w:r>
      <w:r>
        <w:rPr>
          <w:rFonts w:asciiTheme="minorHAnsi" w:hAnsiTheme="minorHAnsi" w:eastAsiaTheme="majorEastAsia" w:cstheme="minorHAnsi"/>
          <w:szCs w:val="21"/>
        </w:rPr>
        <w:t>项目报名表》，网上报名的时间决定录取的顺序和安排宿舍的顺序；</w:t>
      </w:r>
    </w:p>
    <w:p>
      <w:pPr>
        <w:pStyle w:val="16"/>
        <w:numPr>
          <w:ilvl w:val="0"/>
          <w:numId w:val="8"/>
        </w:numPr>
        <w:spacing w:line="360" w:lineRule="auto"/>
        <w:ind w:firstLineChars="0"/>
        <w:jc w:val="left"/>
        <w:rPr>
          <w:rFonts w:asciiTheme="minorHAnsi" w:hAnsiTheme="minorHAnsi" w:eastAsiaTheme="majorEastAsia" w:cstheme="minorHAnsi"/>
          <w:kern w:val="0"/>
          <w:szCs w:val="21"/>
        </w:rPr>
      </w:pPr>
      <w:r>
        <w:rPr>
          <w:rFonts w:asciiTheme="minorHAnsi" w:hAnsiTheme="minorHAnsi" w:eastAsiaTheme="majorEastAsia" w:cstheme="minorHAnsi"/>
          <w:szCs w:val="21"/>
        </w:rPr>
        <w:t>学生申请资料经初步审核后，参加面试确定预录取名单；</w:t>
      </w:r>
    </w:p>
    <w:p>
      <w:pPr>
        <w:pStyle w:val="16"/>
        <w:numPr>
          <w:ilvl w:val="0"/>
          <w:numId w:val="8"/>
        </w:numPr>
        <w:spacing w:line="360" w:lineRule="auto"/>
        <w:ind w:firstLineChars="0"/>
        <w:jc w:val="left"/>
        <w:rPr>
          <w:rFonts w:ascii="Calibri" w:hAnsi="Calibri" w:cs="Calibri"/>
          <w:color w:val="000000" w:themeColor="text1"/>
          <w:szCs w:val="21"/>
          <w:highlight w:val="none"/>
          <w14:textFill>
            <w14:solidFill>
              <w14:schemeClr w14:val="tx1"/>
            </w14:solidFill>
          </w14:textFill>
        </w:rPr>
      </w:pPr>
      <w:r>
        <w:rPr>
          <w:rFonts w:cs="Calibri" w:asciiTheme="minorHAnsi" w:hAnsiTheme="minorHAnsi"/>
          <w:szCs w:val="21"/>
        </w:rPr>
        <w:t>学生提交正式申请材料并缴纳项目费用，获得学校录取及签证后赴</w:t>
      </w:r>
      <w:r>
        <w:rPr>
          <w:rFonts w:hint="eastAsia" w:cs="Calibri" w:asciiTheme="minorHAnsi" w:hAnsiTheme="minorHAnsi"/>
          <w:szCs w:val="21"/>
        </w:rPr>
        <w:t>美</w:t>
      </w:r>
      <w:r>
        <w:rPr>
          <w:rFonts w:cs="Calibri" w:asciiTheme="minorHAnsi" w:hAnsiTheme="minorHAnsi"/>
          <w:szCs w:val="21"/>
        </w:rPr>
        <w:t>学习</w:t>
      </w:r>
      <w:r>
        <w:rPr>
          <w:rFonts w:hint="eastAsia" w:cs="Calibri" w:asciiTheme="minorHAnsi" w:hAnsiTheme="minorHAnsi"/>
          <w:szCs w:val="21"/>
        </w:rPr>
        <w:t>。</w:t>
      </w:r>
    </w:p>
    <w:p>
      <w:pPr>
        <w:pStyle w:val="16"/>
        <w:numPr>
          <w:ilvl w:val="0"/>
          <w:numId w:val="8"/>
        </w:numPr>
        <w:spacing w:line="360" w:lineRule="auto"/>
        <w:ind w:firstLineChars="0"/>
        <w:jc w:val="left"/>
        <w:rPr>
          <w:rFonts w:ascii="Calibri" w:hAnsi="Calibri" w:cs="Calibri"/>
          <w:color w:val="000000" w:themeColor="text1"/>
          <w:szCs w:val="21"/>
          <w:highlight w:val="none"/>
          <w14:textFill>
            <w14:solidFill>
              <w14:schemeClr w14:val="tx1"/>
            </w14:solidFill>
          </w14:textFill>
        </w:rPr>
      </w:pPr>
      <w:r>
        <w:rPr>
          <w:rFonts w:hint="eastAsia" w:ascii="Calibri" w:hAnsi="Calibri" w:cs="Calibri"/>
          <w:color w:val="000000" w:themeColor="text1"/>
          <w:szCs w:val="21"/>
          <w:highlight w:val="none"/>
          <w14:textFill>
            <w14:solidFill>
              <w14:schemeClr w14:val="tx1"/>
            </w14:solidFill>
          </w14:textFill>
        </w:rPr>
        <w:t>咨询电话：</w:t>
      </w:r>
    </w:p>
    <w:p>
      <w:pPr>
        <w:spacing w:line="360" w:lineRule="auto"/>
        <w:ind w:firstLine="211" w:firstLineChars="100"/>
        <w:rPr>
          <w:rFonts w:ascii="宋体" w:hAnsi="宋体" w:cs="宋体"/>
          <w:b/>
          <w:color w:val="000000" w:themeColor="text1"/>
          <w:kern w:val="0"/>
          <w:sz w:val="21"/>
          <w:szCs w:val="21"/>
          <w:highlight w:val="none"/>
          <w14:textFill>
            <w14:solidFill>
              <w14:schemeClr w14:val="tx1"/>
            </w14:solidFill>
          </w14:textFill>
        </w:rPr>
      </w:pPr>
      <w:r>
        <w:rPr>
          <w:rFonts w:hint="eastAsia" w:ascii="宋体" w:hAnsi="宋体" w:cs="宋体"/>
          <w:b/>
          <w:color w:val="000000" w:themeColor="text1"/>
          <w:kern w:val="0"/>
          <w:sz w:val="21"/>
          <w:szCs w:val="21"/>
          <w:highlight w:val="none"/>
          <w14:textFill>
            <w14:solidFill>
              <w14:schemeClr w14:val="tx1"/>
            </w14:solidFill>
          </w14:textFill>
        </w:rPr>
        <w:t xml:space="preserve">国际交流处综合楼707 廖老师 电话：020-84096080 </w:t>
      </w:r>
    </w:p>
    <w:p>
      <w:pPr>
        <w:spacing w:line="360" w:lineRule="auto"/>
        <w:ind w:firstLine="211" w:firstLineChars="100"/>
        <w:rPr>
          <w:rFonts w:hint="eastAsia" w:ascii="宋体" w:hAnsi="宋体" w:cs="宋体"/>
          <w:b/>
          <w:color w:val="000000" w:themeColor="text1"/>
          <w:kern w:val="0"/>
          <w:sz w:val="21"/>
          <w:szCs w:val="21"/>
          <w:highlight w:val="none"/>
          <w14:textFill>
            <w14:solidFill>
              <w14:schemeClr w14:val="tx1"/>
            </w14:solidFill>
          </w14:textFill>
        </w:rPr>
      </w:pPr>
      <w:r>
        <w:rPr>
          <w:rFonts w:hint="eastAsia" w:ascii="宋体" w:hAnsi="宋体" w:cs="宋体"/>
          <w:b/>
          <w:color w:val="000000" w:themeColor="text1"/>
          <w:kern w:val="0"/>
          <w:sz w:val="21"/>
          <w:szCs w:val="21"/>
          <w:highlight w:val="none"/>
          <w14:textFill>
            <w14:solidFill>
              <w14:schemeClr w14:val="tx1"/>
            </w14:solidFill>
          </w14:textFill>
        </w:rPr>
        <w:t xml:space="preserve">全美国际教育协会咨询电话: </w:t>
      </w:r>
    </w:p>
    <w:p>
      <w:pPr>
        <w:spacing w:line="360" w:lineRule="auto"/>
        <w:ind w:firstLine="211" w:firstLineChars="100"/>
        <w:rPr>
          <w:rFonts w:hint="eastAsia" w:ascii="Calibri" w:hAnsi="Calibri" w:cs="Calibri"/>
          <w:b/>
          <w:color w:val="000000" w:themeColor="text1"/>
          <w:kern w:val="0"/>
          <w:sz w:val="21"/>
          <w:szCs w:val="21"/>
          <w:highlight w:val="none"/>
          <w14:textFill>
            <w14:solidFill>
              <w14:schemeClr w14:val="tx1"/>
            </w14:solidFill>
          </w14:textFill>
        </w:rPr>
      </w:pPr>
      <w:r>
        <w:rPr>
          <w:rFonts w:hint="eastAsia" w:ascii="Calibri" w:hAnsi="Calibri" w:cs="Calibri"/>
          <w:b/>
          <w:color w:val="000000" w:themeColor="text1"/>
          <w:kern w:val="0"/>
          <w:sz w:val="21"/>
          <w:szCs w:val="21"/>
          <w:highlight w:val="none"/>
          <w:lang w:val="en-US" w:eastAsia="zh-CN"/>
          <w14:textFill>
            <w14:solidFill>
              <w14:schemeClr w14:val="tx1"/>
            </w14:solidFill>
          </w14:textFill>
        </w:rPr>
        <w:t>曾老师</w:t>
      </w:r>
      <w:r>
        <w:rPr>
          <w:rFonts w:hint="eastAsia" w:ascii="Calibri" w:hAnsi="Calibri" w:cs="Calibri"/>
          <w:b/>
          <w:color w:val="000000" w:themeColor="text1"/>
          <w:kern w:val="0"/>
          <w:sz w:val="21"/>
          <w:szCs w:val="21"/>
          <w:highlight w:val="none"/>
          <w14:textFill>
            <w14:solidFill>
              <w14:schemeClr w14:val="tx1"/>
            </w14:solidFill>
          </w14:textFill>
        </w:rPr>
        <w:t xml:space="preserve">189 2278 0945（微信同，周一至周五 </w:t>
      </w:r>
      <w:r>
        <w:rPr>
          <w:rFonts w:hint="eastAsia" w:ascii="Calibri" w:hAnsi="Calibri" w:cs="Calibri"/>
          <w:b/>
          <w:color w:val="000000" w:themeColor="text1"/>
          <w:kern w:val="0"/>
          <w:sz w:val="21"/>
          <w:szCs w:val="21"/>
          <w:highlight w:val="none"/>
          <w:lang w:val="en-US" w:eastAsia="zh-CN"/>
          <w14:textFill>
            <w14:solidFill>
              <w14:schemeClr w14:val="tx1"/>
            </w14:solidFill>
          </w14:textFill>
        </w:rPr>
        <w:t>9:00</w:t>
      </w:r>
      <w:r>
        <w:rPr>
          <w:rFonts w:hint="eastAsia" w:ascii="Calibri" w:hAnsi="Calibri" w:cs="Calibri"/>
          <w:b/>
          <w:color w:val="000000" w:themeColor="text1"/>
          <w:kern w:val="0"/>
          <w:sz w:val="21"/>
          <w:szCs w:val="21"/>
          <w:highlight w:val="none"/>
          <w14:textFill>
            <w14:solidFill>
              <w14:schemeClr w14:val="tx1"/>
            </w14:solidFill>
          </w14:textFill>
        </w:rPr>
        <w:t>—1</w:t>
      </w:r>
      <w:r>
        <w:rPr>
          <w:rFonts w:hint="eastAsia" w:ascii="Calibri" w:hAnsi="Calibri" w:cs="Calibri"/>
          <w:b/>
          <w:color w:val="000000" w:themeColor="text1"/>
          <w:kern w:val="0"/>
          <w:sz w:val="21"/>
          <w:szCs w:val="21"/>
          <w:highlight w:val="none"/>
          <w:lang w:val="en-US" w:eastAsia="zh-CN"/>
          <w14:textFill>
            <w14:solidFill>
              <w14:schemeClr w14:val="tx1"/>
            </w14:solidFill>
          </w14:textFill>
        </w:rPr>
        <w:t>8:00</w:t>
      </w:r>
      <w:r>
        <w:rPr>
          <w:rFonts w:hint="eastAsia" w:ascii="Calibri" w:hAnsi="Calibri" w:cs="Calibri"/>
          <w:b/>
          <w:color w:val="000000" w:themeColor="text1"/>
          <w:kern w:val="0"/>
          <w:sz w:val="21"/>
          <w:szCs w:val="21"/>
          <w:highlight w:val="none"/>
          <w14:textFill>
            <w14:solidFill>
              <w14:schemeClr w14:val="tx1"/>
            </w14:solidFill>
          </w14:textFill>
        </w:rPr>
        <w:t>）</w:t>
      </w:r>
    </w:p>
    <w:p>
      <w:pPr>
        <w:spacing w:line="360" w:lineRule="auto"/>
        <w:ind w:firstLine="211" w:firstLineChars="100"/>
        <w:rPr>
          <w:rFonts w:hint="eastAsia" w:ascii="Calibri" w:hAnsi="Calibri" w:cs="Calibri"/>
          <w:b/>
          <w:color w:val="000000" w:themeColor="text1"/>
          <w:kern w:val="0"/>
          <w:sz w:val="21"/>
          <w:szCs w:val="21"/>
          <w:highlight w:val="none"/>
          <w14:textFill>
            <w14:solidFill>
              <w14:schemeClr w14:val="tx1"/>
            </w14:solidFill>
          </w14:textFill>
        </w:rPr>
      </w:pPr>
      <w:r>
        <w:rPr>
          <w:rFonts w:hint="eastAsia" w:ascii="Calibri" w:hAnsi="Calibri" w:cs="Calibri"/>
          <w:b/>
          <w:color w:val="000000" w:themeColor="text1"/>
          <w:kern w:val="0"/>
          <w:sz w:val="21"/>
          <w:szCs w:val="21"/>
          <w:highlight w:val="none"/>
          <w:lang w:val="en-US" w:eastAsia="zh-CN"/>
          <w14:textFill>
            <w14:solidFill>
              <w14:schemeClr w14:val="tx1"/>
            </w14:solidFill>
          </w14:textFill>
        </w:rPr>
        <w:t>朱老师 138 2976 1018</w:t>
      </w:r>
      <w:r>
        <w:rPr>
          <w:rFonts w:hint="eastAsia" w:ascii="Calibri" w:hAnsi="Calibri" w:cs="Calibri"/>
          <w:b/>
          <w:color w:val="000000" w:themeColor="text1"/>
          <w:kern w:val="0"/>
          <w:sz w:val="21"/>
          <w:szCs w:val="21"/>
          <w:highlight w:val="none"/>
          <w14:textFill>
            <w14:solidFill>
              <w14:schemeClr w14:val="tx1"/>
            </w14:solidFill>
          </w14:textFill>
        </w:rPr>
        <w:t xml:space="preserve">（微信同，周一至周五 </w:t>
      </w:r>
      <w:r>
        <w:rPr>
          <w:rFonts w:hint="eastAsia" w:ascii="Calibri" w:hAnsi="Calibri" w:cs="Calibri"/>
          <w:b/>
          <w:color w:val="000000" w:themeColor="text1"/>
          <w:kern w:val="0"/>
          <w:sz w:val="21"/>
          <w:szCs w:val="21"/>
          <w:highlight w:val="none"/>
          <w:lang w:val="en-US" w:eastAsia="zh-CN"/>
          <w14:textFill>
            <w14:solidFill>
              <w14:schemeClr w14:val="tx1"/>
            </w14:solidFill>
          </w14:textFill>
        </w:rPr>
        <w:t>9:00</w:t>
      </w:r>
      <w:r>
        <w:rPr>
          <w:rFonts w:hint="eastAsia" w:ascii="Calibri" w:hAnsi="Calibri" w:cs="Calibri"/>
          <w:b/>
          <w:color w:val="000000" w:themeColor="text1"/>
          <w:kern w:val="0"/>
          <w:sz w:val="21"/>
          <w:szCs w:val="21"/>
          <w:highlight w:val="none"/>
          <w14:textFill>
            <w14:solidFill>
              <w14:schemeClr w14:val="tx1"/>
            </w14:solidFill>
          </w14:textFill>
        </w:rPr>
        <w:t>—1</w:t>
      </w:r>
      <w:r>
        <w:rPr>
          <w:rFonts w:hint="eastAsia" w:ascii="Calibri" w:hAnsi="Calibri" w:cs="Calibri"/>
          <w:b/>
          <w:color w:val="000000" w:themeColor="text1"/>
          <w:kern w:val="0"/>
          <w:sz w:val="21"/>
          <w:szCs w:val="21"/>
          <w:highlight w:val="none"/>
          <w:lang w:val="en-US" w:eastAsia="zh-CN"/>
          <w14:textFill>
            <w14:solidFill>
              <w14:schemeClr w14:val="tx1"/>
            </w14:solidFill>
          </w14:textFill>
        </w:rPr>
        <w:t>8:00</w:t>
      </w:r>
      <w:r>
        <w:rPr>
          <w:rFonts w:hint="eastAsia" w:ascii="Calibri" w:hAnsi="Calibri" w:cs="Calibri"/>
          <w:b/>
          <w:color w:val="000000" w:themeColor="text1"/>
          <w:kern w:val="0"/>
          <w:sz w:val="21"/>
          <w:szCs w:val="21"/>
          <w:highlight w:val="none"/>
          <w14:textFill>
            <w14:solidFill>
              <w14:schemeClr w14:val="tx1"/>
            </w14:solidFill>
          </w14:textFill>
        </w:rPr>
        <w:t>）</w:t>
      </w:r>
      <w:bookmarkStart w:id="0" w:name="_GoBack"/>
      <w:bookmarkEnd w:id="0"/>
    </w:p>
    <w:p>
      <w:pPr>
        <w:spacing w:line="360" w:lineRule="auto"/>
        <w:ind w:firstLine="210" w:firstLineChars="100"/>
        <w:rPr>
          <w:rStyle w:val="12"/>
          <w:rFonts w:cs="宋体" w:asciiTheme="minorHAnsi" w:hAnsiTheme="minorHAnsi"/>
          <w:color w:val="auto"/>
          <w:kern w:val="0"/>
          <w:szCs w:val="21"/>
        </w:rPr>
      </w:pPr>
      <w:r>
        <w:rPr>
          <w:rStyle w:val="12"/>
          <w:rFonts w:hint="eastAsia" w:cs="宋体" w:asciiTheme="minorHAnsi" w:hAnsiTheme="minorHAnsi"/>
          <w:color w:val="auto"/>
          <w:kern w:val="0"/>
          <w:szCs w:val="21"/>
        </w:rPr>
        <w:t>———————————————————————————————————————</w:t>
      </w:r>
    </w:p>
    <w:p>
      <w:pPr>
        <w:widowControl/>
        <w:jc w:val="left"/>
        <w:rPr>
          <w:rStyle w:val="12"/>
          <w:rFonts w:cs="宋体" w:asciiTheme="minorHAnsi" w:hAnsiTheme="minorHAnsi"/>
          <w:b/>
          <w:color w:val="auto"/>
          <w:kern w:val="0"/>
          <w:sz w:val="20"/>
          <w:szCs w:val="21"/>
        </w:rPr>
      </w:pPr>
      <w:r>
        <w:rPr>
          <w:rStyle w:val="12"/>
          <w:rFonts w:hint="eastAsia" w:cs="宋体" w:asciiTheme="minorHAnsi" w:hAnsiTheme="minorHAnsi"/>
          <w:b/>
          <w:color w:val="auto"/>
          <w:kern w:val="0"/>
          <w:sz w:val="20"/>
          <w:szCs w:val="21"/>
        </w:rPr>
        <w:t>关于全美国际教育协会</w:t>
      </w:r>
    </w:p>
    <w:p>
      <w:pPr>
        <w:widowControl/>
        <w:jc w:val="left"/>
        <w:rPr>
          <w:rStyle w:val="12"/>
          <w:rFonts w:cs="宋体" w:asciiTheme="minorHAnsi" w:hAnsiTheme="minorHAnsi"/>
          <w:b/>
          <w:kern w:val="0"/>
          <w:sz w:val="20"/>
          <w:szCs w:val="21"/>
        </w:rPr>
      </w:pPr>
      <w:r>
        <w:fldChar w:fldCharType="begin"/>
      </w:r>
      <w:r>
        <w:instrText xml:space="preserve"> HYPERLINK "http://www.usiea.org" </w:instrText>
      </w:r>
      <w:r>
        <w:fldChar w:fldCharType="separate"/>
      </w:r>
      <w:r>
        <w:rPr>
          <w:rStyle w:val="12"/>
          <w:rFonts w:hint="eastAsia" w:cs="宋体" w:asciiTheme="minorHAnsi" w:hAnsiTheme="minorHAnsi"/>
          <w:b/>
          <w:kern w:val="0"/>
          <w:sz w:val="20"/>
          <w:szCs w:val="21"/>
        </w:rPr>
        <w:t>www.usiea.org</w:t>
      </w:r>
      <w:r>
        <w:rPr>
          <w:rStyle w:val="12"/>
          <w:rFonts w:hint="eastAsia" w:cs="宋体" w:asciiTheme="minorHAnsi" w:hAnsiTheme="minorHAnsi"/>
          <w:b/>
          <w:kern w:val="0"/>
          <w:sz w:val="20"/>
          <w:szCs w:val="21"/>
        </w:rPr>
        <w:fldChar w:fldCharType="end"/>
      </w:r>
    </w:p>
    <w:p>
      <w:pPr>
        <w:widowControl/>
        <w:jc w:val="left"/>
        <w:rPr>
          <w:rStyle w:val="12"/>
          <w:rFonts w:cs="宋体" w:asciiTheme="minorHAnsi" w:hAnsiTheme="minorHAnsi"/>
          <w:b/>
          <w:color w:val="auto"/>
          <w:kern w:val="0"/>
          <w:sz w:val="20"/>
          <w:szCs w:val="21"/>
        </w:rPr>
      </w:pPr>
    </w:p>
    <w:p>
      <w:pPr>
        <w:widowControl/>
        <w:jc w:val="left"/>
        <w:rPr>
          <w:rStyle w:val="12"/>
          <w:rFonts w:cs="宋体" w:asciiTheme="minorHAnsi" w:hAnsiTheme="minorHAnsi"/>
          <w:kern w:val="0"/>
          <w:sz w:val="20"/>
          <w:szCs w:val="21"/>
        </w:rPr>
      </w:pPr>
      <w:r>
        <w:rPr>
          <w:rStyle w:val="12"/>
          <w:rFonts w:hint="eastAsia" w:cs="宋体" w:asciiTheme="minorHAnsi" w:hAnsiTheme="minorHAnsi"/>
          <w:color w:val="auto"/>
          <w:kern w:val="0"/>
          <w:sz w:val="20"/>
          <w:szCs w:val="21"/>
        </w:rPr>
        <w:t>US International Education Association全美国际教育协会是在美国注册的非营利机构，旨在通过与中外高校的合作，为每一位大学生提供高品质的世界名校访学机会，共同培养具备全球胜任力的优秀大学生，促进不同文化间的沟通、理解与合作。</w:t>
      </w:r>
    </w:p>
    <w:p>
      <w:pPr>
        <w:widowControl/>
        <w:jc w:val="left"/>
        <w:rPr>
          <w:rFonts w:cs="宋体" w:asciiTheme="minorHAnsi" w:hAnsiTheme="minorHAnsi"/>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全美国际教育协会受美国宾夕法尼亚大学、哥伦比亚大学、波士顿大学、威斯康星大学麦迪逊分校、加州大学伯克利分校、加州大学圣地亚哥分校、加州大学河滨分校、英国剑桥大学、伦敦政治经济学院、加拿大多伦多大学、麦吉尔大学、英属哥伦比亚大学、澳大利亚昆士兰大学、新南威尔士大学、阿德莱德大学等20多所世界级名校的委托，与中国80多所高校合作选拔品学兼优的学生赴海外参加访学项目。</w:t>
      </w:r>
    </w:p>
    <w:p>
      <w:pPr>
        <w:widowControl/>
        <w:jc w:val="left"/>
        <w:rPr>
          <w:rFonts w:cs="宋体" w:asciiTheme="minorHAnsi" w:hAnsiTheme="minorHAnsi"/>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全美国际教育协会在北京、南京、杭州、广州、西安、成都、郑州设有办公室，为中国合作高校和学生提供与访学项目相关的全流程服务。</w:t>
      </w:r>
    </w:p>
    <w:p>
      <w:pPr>
        <w:spacing w:line="360" w:lineRule="auto"/>
        <w:ind w:left="360"/>
        <w:rPr>
          <w:rFonts w:asciiTheme="minorHAnsi" w:hAnsiTheme="minorHAnsi" w:eastAsiaTheme="majorEastAsia" w:cstheme="minorHAnsi"/>
          <w:szCs w:val="21"/>
        </w:rPr>
      </w:pPr>
    </w:p>
    <w:p>
      <w:pPr>
        <w:spacing w:line="360" w:lineRule="auto"/>
        <w:rPr>
          <w:rFonts w:cs="Calibri" w:asciiTheme="minorHAnsi" w:hAnsiTheme="minorHAnsi"/>
          <w:kern w:val="0"/>
          <w:sz w:val="22"/>
        </w:rPr>
      </w:pPr>
      <w:r>
        <w:rPr>
          <w:rFonts w:cs="宋体" w:asciiTheme="minorHAnsi" w:hAnsiTheme="minorHAnsi"/>
          <w:kern w:val="0"/>
          <w:sz w:val="2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 w:val="22"/>
        </w:rPr>
        <w:t>www.usiea.org</w:t>
      </w:r>
      <w:r>
        <w:rPr>
          <w:rFonts w:cs="Calibri" w:asciiTheme="minorHAnsi" w:hAnsiTheme="minorHAnsi"/>
          <w:color w:val="0068B7"/>
          <w:kern w:val="0"/>
          <w:sz w:val="22"/>
        </w:rPr>
        <w:fldChar w:fldCharType="end"/>
      </w:r>
      <w:r>
        <w:rPr>
          <w:rFonts w:cs="Calibri" w:asciiTheme="minorHAnsi" w:hAnsiTheme="minorHAnsi"/>
          <w:kern w:val="0"/>
          <w:sz w:val="22"/>
        </w:rPr>
        <w:t xml:space="preserve"> </w:t>
      </w:r>
    </w:p>
    <w:p>
      <w:pPr>
        <w:spacing w:line="360" w:lineRule="auto"/>
        <w:rPr>
          <w:rFonts w:cs="宋体" w:asciiTheme="minorHAnsi" w:hAnsiTheme="minorHAnsi"/>
          <w:kern w:val="0"/>
          <w:sz w:val="20"/>
          <w:szCs w:val="21"/>
        </w:rPr>
      </w:pPr>
      <w:r>
        <w:rPr>
          <w:rFonts w:cs="宋体" w:asciiTheme="minorHAnsi" w:hAnsiTheme="minorHAnsi"/>
          <w:kern w:val="0"/>
          <w:sz w:val="20"/>
          <w:szCs w:val="21"/>
        </w:rPr>
        <w:t>全美国际教育协会官微：全美国际访学微刊</w:t>
      </w:r>
    </w:p>
    <w:p>
      <w:pPr>
        <w:spacing w:line="360" w:lineRule="auto"/>
        <w:jc w:val="left"/>
        <w:rPr>
          <w:rFonts w:asciiTheme="minorHAnsi" w:hAnsiTheme="minorHAnsi" w:eastAsiaTheme="majorEastAsia" w:cstheme="minorHAnsi"/>
          <w:szCs w:val="21"/>
        </w:rPr>
      </w:pPr>
      <w:r>
        <w:rPr>
          <w:rFonts w:cs="宋体" w:asciiTheme="minorHAnsi" w:hAnsiTheme="minorHAnsi"/>
          <w:kern w:val="0"/>
          <w:sz w:val="20"/>
          <w:szCs w:val="21"/>
        </w:rPr>
        <w:t>项目邮箱咨询：</w:t>
      </w:r>
      <w:r>
        <w:fldChar w:fldCharType="begin"/>
      </w:r>
      <w:r>
        <w:instrText xml:space="preserve"> HYPERLINK "mailto:visitgwu@yeah.net" </w:instrText>
      </w:r>
      <w:r>
        <w:fldChar w:fldCharType="separate"/>
      </w:r>
      <w:r>
        <w:rPr>
          <w:rStyle w:val="12"/>
          <w:rFonts w:cs="Calibri" w:asciiTheme="minorHAnsi" w:hAnsiTheme="minorHAnsi"/>
          <w:kern w:val="0"/>
          <w:sz w:val="22"/>
        </w:rPr>
        <w:t>visitgwu@yeah.net</w:t>
      </w:r>
      <w:r>
        <w:rPr>
          <w:rStyle w:val="12"/>
          <w:rFonts w:cs="Calibri" w:asciiTheme="minorHAnsi" w:hAnsiTheme="minorHAnsi"/>
          <w:kern w:val="0"/>
          <w:sz w:val="22"/>
        </w:rPr>
        <w:fldChar w:fldCharType="end"/>
      </w:r>
      <w:r>
        <w:rPr>
          <w:rFonts w:asciiTheme="minorHAnsi" w:hAnsiTheme="minorHAnsi"/>
        </w:rPr>
        <w:t xml:space="preserve"> </w:t>
      </w: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91C33"/>
    <w:multiLevelType w:val="multilevel"/>
    <w:tmpl w:val="00E91C33"/>
    <w:lvl w:ilvl="0" w:tentative="0">
      <w:start w:val="1"/>
      <w:numFmt w:val="japaneseCounting"/>
      <w:lvlText w:val="%1、"/>
      <w:lvlJc w:val="left"/>
      <w:pPr>
        <w:ind w:left="440" w:hanging="4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8125196"/>
    <w:multiLevelType w:val="multilevel"/>
    <w:tmpl w:val="08125196"/>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08973FAF"/>
    <w:multiLevelType w:val="multilevel"/>
    <w:tmpl w:val="08973FAF"/>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3">
    <w:nsid w:val="1FCA2FC4"/>
    <w:multiLevelType w:val="multilevel"/>
    <w:tmpl w:val="1FCA2FC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4">
    <w:nsid w:val="35BC227D"/>
    <w:multiLevelType w:val="multilevel"/>
    <w:tmpl w:val="35BC227D"/>
    <w:lvl w:ilvl="0" w:tentative="0">
      <w:start w:val="4"/>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5132763"/>
    <w:multiLevelType w:val="multilevel"/>
    <w:tmpl w:val="45132763"/>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6">
    <w:nsid w:val="6D50662A"/>
    <w:multiLevelType w:val="multilevel"/>
    <w:tmpl w:val="6D50662A"/>
    <w:lvl w:ilvl="0" w:tentative="0">
      <w:start w:val="1"/>
      <w:numFmt w:val="decimal"/>
      <w:lvlText w:val="%1)"/>
      <w:lvlJc w:val="left"/>
      <w:pPr>
        <w:ind w:left="630" w:hanging="420"/>
      </w:p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7">
    <w:nsid w:val="77F013D8"/>
    <w:multiLevelType w:val="multilevel"/>
    <w:tmpl w:val="77F013D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3"/>
  </w:num>
  <w:num w:numId="3">
    <w:abstractNumId w:val="5"/>
  </w:num>
  <w:num w:numId="4">
    <w:abstractNumId w:val="2"/>
  </w:num>
  <w:num w:numId="5">
    <w:abstractNumId w:val="7"/>
  </w:num>
  <w:num w:numId="6">
    <w:abstractNumId w:val="1"/>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A8F"/>
    <w:rsid w:val="000035D7"/>
    <w:rsid w:val="00010F31"/>
    <w:rsid w:val="00014FA8"/>
    <w:rsid w:val="000169DD"/>
    <w:rsid w:val="00022AFD"/>
    <w:rsid w:val="000230BD"/>
    <w:rsid w:val="00023476"/>
    <w:rsid w:val="000236D2"/>
    <w:rsid w:val="00024A32"/>
    <w:rsid w:val="00024C64"/>
    <w:rsid w:val="00025022"/>
    <w:rsid w:val="00025028"/>
    <w:rsid w:val="00025206"/>
    <w:rsid w:val="0003068E"/>
    <w:rsid w:val="00030A02"/>
    <w:rsid w:val="00031403"/>
    <w:rsid w:val="000362BD"/>
    <w:rsid w:val="000402B0"/>
    <w:rsid w:val="00041148"/>
    <w:rsid w:val="00041BDA"/>
    <w:rsid w:val="00046229"/>
    <w:rsid w:val="00047E4D"/>
    <w:rsid w:val="0005094B"/>
    <w:rsid w:val="000519A2"/>
    <w:rsid w:val="00051C6A"/>
    <w:rsid w:val="00052B6D"/>
    <w:rsid w:val="0005389A"/>
    <w:rsid w:val="0006181E"/>
    <w:rsid w:val="00064CA4"/>
    <w:rsid w:val="00065242"/>
    <w:rsid w:val="00076A24"/>
    <w:rsid w:val="000820F9"/>
    <w:rsid w:val="000845C3"/>
    <w:rsid w:val="0009206E"/>
    <w:rsid w:val="000954F4"/>
    <w:rsid w:val="000A0A86"/>
    <w:rsid w:val="000A2A22"/>
    <w:rsid w:val="000A4030"/>
    <w:rsid w:val="000A5251"/>
    <w:rsid w:val="000A6CE8"/>
    <w:rsid w:val="000B1A29"/>
    <w:rsid w:val="000C2A5A"/>
    <w:rsid w:val="000C2F7C"/>
    <w:rsid w:val="000C3F5B"/>
    <w:rsid w:val="000C4E56"/>
    <w:rsid w:val="000C5C18"/>
    <w:rsid w:val="000C7F9A"/>
    <w:rsid w:val="000E0D65"/>
    <w:rsid w:val="000E1209"/>
    <w:rsid w:val="000E3600"/>
    <w:rsid w:val="000F168E"/>
    <w:rsid w:val="000F6E7C"/>
    <w:rsid w:val="001013E1"/>
    <w:rsid w:val="0010196F"/>
    <w:rsid w:val="001051AF"/>
    <w:rsid w:val="00106BA3"/>
    <w:rsid w:val="00107AEF"/>
    <w:rsid w:val="00110B1F"/>
    <w:rsid w:val="00110EDA"/>
    <w:rsid w:val="0011231F"/>
    <w:rsid w:val="00112EFC"/>
    <w:rsid w:val="001131EA"/>
    <w:rsid w:val="00116EF3"/>
    <w:rsid w:val="00120A5E"/>
    <w:rsid w:val="0012340B"/>
    <w:rsid w:val="0012488E"/>
    <w:rsid w:val="00124B0D"/>
    <w:rsid w:val="00125024"/>
    <w:rsid w:val="00127FE8"/>
    <w:rsid w:val="00131D30"/>
    <w:rsid w:val="00134011"/>
    <w:rsid w:val="00135DEF"/>
    <w:rsid w:val="00135F93"/>
    <w:rsid w:val="0013737E"/>
    <w:rsid w:val="00137744"/>
    <w:rsid w:val="00142B17"/>
    <w:rsid w:val="00143294"/>
    <w:rsid w:val="00146AB9"/>
    <w:rsid w:val="00160B9E"/>
    <w:rsid w:val="001668E7"/>
    <w:rsid w:val="00167799"/>
    <w:rsid w:val="00170451"/>
    <w:rsid w:val="001738F0"/>
    <w:rsid w:val="00176B88"/>
    <w:rsid w:val="00176F21"/>
    <w:rsid w:val="00182E04"/>
    <w:rsid w:val="001834A2"/>
    <w:rsid w:val="001839FD"/>
    <w:rsid w:val="001845C2"/>
    <w:rsid w:val="00186190"/>
    <w:rsid w:val="00192C0F"/>
    <w:rsid w:val="001A0C7A"/>
    <w:rsid w:val="001A281F"/>
    <w:rsid w:val="001A7D56"/>
    <w:rsid w:val="001B1730"/>
    <w:rsid w:val="001C1A51"/>
    <w:rsid w:val="001C6985"/>
    <w:rsid w:val="001D4042"/>
    <w:rsid w:val="001D4EF4"/>
    <w:rsid w:val="001E31D7"/>
    <w:rsid w:val="001E5D98"/>
    <w:rsid w:val="001F5524"/>
    <w:rsid w:val="00202030"/>
    <w:rsid w:val="00203BFF"/>
    <w:rsid w:val="002133F2"/>
    <w:rsid w:val="002150CA"/>
    <w:rsid w:val="0021711E"/>
    <w:rsid w:val="00220E2D"/>
    <w:rsid w:val="002211FB"/>
    <w:rsid w:val="0022214B"/>
    <w:rsid w:val="002274D9"/>
    <w:rsid w:val="0023241C"/>
    <w:rsid w:val="002441C6"/>
    <w:rsid w:val="002449A1"/>
    <w:rsid w:val="00251642"/>
    <w:rsid w:val="00255140"/>
    <w:rsid w:val="00261406"/>
    <w:rsid w:val="00261C11"/>
    <w:rsid w:val="00265484"/>
    <w:rsid w:val="00271BCB"/>
    <w:rsid w:val="00275270"/>
    <w:rsid w:val="0028056A"/>
    <w:rsid w:val="002852EE"/>
    <w:rsid w:val="0029179F"/>
    <w:rsid w:val="00292326"/>
    <w:rsid w:val="00295361"/>
    <w:rsid w:val="00296348"/>
    <w:rsid w:val="00297E1A"/>
    <w:rsid w:val="002A402F"/>
    <w:rsid w:val="002B269F"/>
    <w:rsid w:val="002B61DD"/>
    <w:rsid w:val="002B7076"/>
    <w:rsid w:val="002C2028"/>
    <w:rsid w:val="002C229B"/>
    <w:rsid w:val="002C27D4"/>
    <w:rsid w:val="002C6AEB"/>
    <w:rsid w:val="002C722D"/>
    <w:rsid w:val="002D04D0"/>
    <w:rsid w:val="002D76B2"/>
    <w:rsid w:val="002E1476"/>
    <w:rsid w:val="002E3299"/>
    <w:rsid w:val="002E4985"/>
    <w:rsid w:val="002E64CC"/>
    <w:rsid w:val="002F1A53"/>
    <w:rsid w:val="002F3568"/>
    <w:rsid w:val="002F3A45"/>
    <w:rsid w:val="002F7AB9"/>
    <w:rsid w:val="0030157A"/>
    <w:rsid w:val="00302995"/>
    <w:rsid w:val="003039E1"/>
    <w:rsid w:val="00303D3D"/>
    <w:rsid w:val="0031712B"/>
    <w:rsid w:val="0032092A"/>
    <w:rsid w:val="00321717"/>
    <w:rsid w:val="00321D5F"/>
    <w:rsid w:val="00333C15"/>
    <w:rsid w:val="00342D9D"/>
    <w:rsid w:val="00342E7E"/>
    <w:rsid w:val="003507AC"/>
    <w:rsid w:val="003541E5"/>
    <w:rsid w:val="00360EC7"/>
    <w:rsid w:val="00360F09"/>
    <w:rsid w:val="00364A0C"/>
    <w:rsid w:val="003738EA"/>
    <w:rsid w:val="00375491"/>
    <w:rsid w:val="003822A8"/>
    <w:rsid w:val="00383DCC"/>
    <w:rsid w:val="00386A4E"/>
    <w:rsid w:val="00386C51"/>
    <w:rsid w:val="00387362"/>
    <w:rsid w:val="00390FCA"/>
    <w:rsid w:val="00394A95"/>
    <w:rsid w:val="00396306"/>
    <w:rsid w:val="00397742"/>
    <w:rsid w:val="003A6BB9"/>
    <w:rsid w:val="003B13FB"/>
    <w:rsid w:val="003B4151"/>
    <w:rsid w:val="003B669C"/>
    <w:rsid w:val="003B786E"/>
    <w:rsid w:val="003B78DD"/>
    <w:rsid w:val="003C6EF7"/>
    <w:rsid w:val="003D0F7B"/>
    <w:rsid w:val="003D0FE9"/>
    <w:rsid w:val="003D2BCE"/>
    <w:rsid w:val="003D4037"/>
    <w:rsid w:val="003D4529"/>
    <w:rsid w:val="003D4B46"/>
    <w:rsid w:val="003D5F48"/>
    <w:rsid w:val="003E01B3"/>
    <w:rsid w:val="003E3199"/>
    <w:rsid w:val="003F050A"/>
    <w:rsid w:val="003F059B"/>
    <w:rsid w:val="003F50D1"/>
    <w:rsid w:val="003F5F88"/>
    <w:rsid w:val="003F6107"/>
    <w:rsid w:val="004017A6"/>
    <w:rsid w:val="00405EAC"/>
    <w:rsid w:val="00411E08"/>
    <w:rsid w:val="0041273F"/>
    <w:rsid w:val="004135C9"/>
    <w:rsid w:val="004221BF"/>
    <w:rsid w:val="00426325"/>
    <w:rsid w:val="00437A33"/>
    <w:rsid w:val="00445AC8"/>
    <w:rsid w:val="004469A3"/>
    <w:rsid w:val="0045270B"/>
    <w:rsid w:val="00454C45"/>
    <w:rsid w:val="004624BE"/>
    <w:rsid w:val="00465A92"/>
    <w:rsid w:val="0046618C"/>
    <w:rsid w:val="004679CE"/>
    <w:rsid w:val="00470270"/>
    <w:rsid w:val="00471CBF"/>
    <w:rsid w:val="00472D99"/>
    <w:rsid w:val="00485AD1"/>
    <w:rsid w:val="004869CF"/>
    <w:rsid w:val="004932B6"/>
    <w:rsid w:val="004946E0"/>
    <w:rsid w:val="004955A6"/>
    <w:rsid w:val="00495E6D"/>
    <w:rsid w:val="004A1602"/>
    <w:rsid w:val="004A51A8"/>
    <w:rsid w:val="004B4D89"/>
    <w:rsid w:val="004B516E"/>
    <w:rsid w:val="004C0E26"/>
    <w:rsid w:val="004C343D"/>
    <w:rsid w:val="004C5277"/>
    <w:rsid w:val="004C6632"/>
    <w:rsid w:val="004D2090"/>
    <w:rsid w:val="004D3884"/>
    <w:rsid w:val="004D5BBA"/>
    <w:rsid w:val="004E0748"/>
    <w:rsid w:val="004E728E"/>
    <w:rsid w:val="004F0AAB"/>
    <w:rsid w:val="004F69EE"/>
    <w:rsid w:val="004F743F"/>
    <w:rsid w:val="004F7C1B"/>
    <w:rsid w:val="00500A8F"/>
    <w:rsid w:val="00503083"/>
    <w:rsid w:val="00504C25"/>
    <w:rsid w:val="005059BC"/>
    <w:rsid w:val="005060F9"/>
    <w:rsid w:val="0051106C"/>
    <w:rsid w:val="00512BAE"/>
    <w:rsid w:val="00520C0E"/>
    <w:rsid w:val="00522EAE"/>
    <w:rsid w:val="005250F2"/>
    <w:rsid w:val="00525703"/>
    <w:rsid w:val="00527573"/>
    <w:rsid w:val="005326B5"/>
    <w:rsid w:val="005339BB"/>
    <w:rsid w:val="00534317"/>
    <w:rsid w:val="00536F45"/>
    <w:rsid w:val="00537EE6"/>
    <w:rsid w:val="005401D5"/>
    <w:rsid w:val="00547E75"/>
    <w:rsid w:val="00553F46"/>
    <w:rsid w:val="00555016"/>
    <w:rsid w:val="00556212"/>
    <w:rsid w:val="005606AC"/>
    <w:rsid w:val="00561FA2"/>
    <w:rsid w:val="0057138A"/>
    <w:rsid w:val="00572B6E"/>
    <w:rsid w:val="005762B0"/>
    <w:rsid w:val="005830E4"/>
    <w:rsid w:val="00584716"/>
    <w:rsid w:val="005849E3"/>
    <w:rsid w:val="00584E4F"/>
    <w:rsid w:val="00584E6C"/>
    <w:rsid w:val="00584F1D"/>
    <w:rsid w:val="00586D6C"/>
    <w:rsid w:val="00587D18"/>
    <w:rsid w:val="00596D1A"/>
    <w:rsid w:val="005A31F5"/>
    <w:rsid w:val="005A65C8"/>
    <w:rsid w:val="005B69C2"/>
    <w:rsid w:val="005C27A1"/>
    <w:rsid w:val="005C7CC0"/>
    <w:rsid w:val="005D0683"/>
    <w:rsid w:val="005D2678"/>
    <w:rsid w:val="005D4D82"/>
    <w:rsid w:val="005D53C9"/>
    <w:rsid w:val="005D6F09"/>
    <w:rsid w:val="005E4B22"/>
    <w:rsid w:val="005E5A41"/>
    <w:rsid w:val="005E674A"/>
    <w:rsid w:val="005E6E17"/>
    <w:rsid w:val="005F6112"/>
    <w:rsid w:val="005F6EBE"/>
    <w:rsid w:val="0060350C"/>
    <w:rsid w:val="00604B3D"/>
    <w:rsid w:val="00606AA2"/>
    <w:rsid w:val="00606C4F"/>
    <w:rsid w:val="00617A76"/>
    <w:rsid w:val="00621ED0"/>
    <w:rsid w:val="00622238"/>
    <w:rsid w:val="006231C3"/>
    <w:rsid w:val="0062468C"/>
    <w:rsid w:val="00624BB2"/>
    <w:rsid w:val="00625AB6"/>
    <w:rsid w:val="00632329"/>
    <w:rsid w:val="00634F17"/>
    <w:rsid w:val="00637AD1"/>
    <w:rsid w:val="006452B3"/>
    <w:rsid w:val="00652D43"/>
    <w:rsid w:val="00654FA4"/>
    <w:rsid w:val="0066295A"/>
    <w:rsid w:val="00663035"/>
    <w:rsid w:val="00664055"/>
    <w:rsid w:val="006662B4"/>
    <w:rsid w:val="00666CF9"/>
    <w:rsid w:val="00667457"/>
    <w:rsid w:val="00667A61"/>
    <w:rsid w:val="00670ED6"/>
    <w:rsid w:val="0067541F"/>
    <w:rsid w:val="0068291B"/>
    <w:rsid w:val="006858D5"/>
    <w:rsid w:val="00687DBB"/>
    <w:rsid w:val="00696B1C"/>
    <w:rsid w:val="0069735A"/>
    <w:rsid w:val="006A2B5F"/>
    <w:rsid w:val="006A32C4"/>
    <w:rsid w:val="006A526F"/>
    <w:rsid w:val="006A72B8"/>
    <w:rsid w:val="006B576E"/>
    <w:rsid w:val="006B7F44"/>
    <w:rsid w:val="006C1F05"/>
    <w:rsid w:val="006C2070"/>
    <w:rsid w:val="006C7966"/>
    <w:rsid w:val="006D5B15"/>
    <w:rsid w:val="006D642C"/>
    <w:rsid w:val="006F2BC0"/>
    <w:rsid w:val="00700EA9"/>
    <w:rsid w:val="0070255A"/>
    <w:rsid w:val="00705BEF"/>
    <w:rsid w:val="00706179"/>
    <w:rsid w:val="007113DD"/>
    <w:rsid w:val="0071430B"/>
    <w:rsid w:val="00720659"/>
    <w:rsid w:val="0072201D"/>
    <w:rsid w:val="00733292"/>
    <w:rsid w:val="00736663"/>
    <w:rsid w:val="007423FD"/>
    <w:rsid w:val="00742540"/>
    <w:rsid w:val="00746CAA"/>
    <w:rsid w:val="00751375"/>
    <w:rsid w:val="00751BD6"/>
    <w:rsid w:val="00756821"/>
    <w:rsid w:val="007619AD"/>
    <w:rsid w:val="00762330"/>
    <w:rsid w:val="007640E0"/>
    <w:rsid w:val="007652B1"/>
    <w:rsid w:val="00770616"/>
    <w:rsid w:val="00772E22"/>
    <w:rsid w:val="00775505"/>
    <w:rsid w:val="00776AE1"/>
    <w:rsid w:val="00785C31"/>
    <w:rsid w:val="00791438"/>
    <w:rsid w:val="00791F2E"/>
    <w:rsid w:val="007A01B4"/>
    <w:rsid w:val="007A03BE"/>
    <w:rsid w:val="007A07E5"/>
    <w:rsid w:val="007A1FEE"/>
    <w:rsid w:val="007A385D"/>
    <w:rsid w:val="007A3E79"/>
    <w:rsid w:val="007A7362"/>
    <w:rsid w:val="007B5A17"/>
    <w:rsid w:val="007B7729"/>
    <w:rsid w:val="007C66DE"/>
    <w:rsid w:val="007D0768"/>
    <w:rsid w:val="007D224F"/>
    <w:rsid w:val="007E0C8A"/>
    <w:rsid w:val="007E3816"/>
    <w:rsid w:val="007F22A1"/>
    <w:rsid w:val="007F5700"/>
    <w:rsid w:val="00802548"/>
    <w:rsid w:val="00802957"/>
    <w:rsid w:val="00814AA6"/>
    <w:rsid w:val="00823EA5"/>
    <w:rsid w:val="00824F39"/>
    <w:rsid w:val="008267EE"/>
    <w:rsid w:val="0083050D"/>
    <w:rsid w:val="00832E9B"/>
    <w:rsid w:val="008432ED"/>
    <w:rsid w:val="00843F7D"/>
    <w:rsid w:val="008447C3"/>
    <w:rsid w:val="00844AAF"/>
    <w:rsid w:val="008450F3"/>
    <w:rsid w:val="00854768"/>
    <w:rsid w:val="008569B0"/>
    <w:rsid w:val="0086227D"/>
    <w:rsid w:val="00863FEE"/>
    <w:rsid w:val="008653E0"/>
    <w:rsid w:val="008766B5"/>
    <w:rsid w:val="0088500C"/>
    <w:rsid w:val="0089014A"/>
    <w:rsid w:val="008902CF"/>
    <w:rsid w:val="008966E9"/>
    <w:rsid w:val="008B4A3B"/>
    <w:rsid w:val="008B56E5"/>
    <w:rsid w:val="008C1F77"/>
    <w:rsid w:val="008C5B19"/>
    <w:rsid w:val="008D3CFE"/>
    <w:rsid w:val="008D5E6C"/>
    <w:rsid w:val="008D7F16"/>
    <w:rsid w:val="008E4534"/>
    <w:rsid w:val="008E54DB"/>
    <w:rsid w:val="008F1045"/>
    <w:rsid w:val="00901133"/>
    <w:rsid w:val="009018E4"/>
    <w:rsid w:val="00901F32"/>
    <w:rsid w:val="00903BED"/>
    <w:rsid w:val="00905613"/>
    <w:rsid w:val="00905BF1"/>
    <w:rsid w:val="00906C38"/>
    <w:rsid w:val="00913572"/>
    <w:rsid w:val="009171E7"/>
    <w:rsid w:val="00917A3B"/>
    <w:rsid w:val="0092087F"/>
    <w:rsid w:val="0092377F"/>
    <w:rsid w:val="00923B32"/>
    <w:rsid w:val="0092404D"/>
    <w:rsid w:val="009274E2"/>
    <w:rsid w:val="00930DF7"/>
    <w:rsid w:val="00936821"/>
    <w:rsid w:val="0094025D"/>
    <w:rsid w:val="0094276A"/>
    <w:rsid w:val="00942C75"/>
    <w:rsid w:val="00951195"/>
    <w:rsid w:val="00952045"/>
    <w:rsid w:val="00952BA5"/>
    <w:rsid w:val="009554FB"/>
    <w:rsid w:val="00957EEC"/>
    <w:rsid w:val="00963696"/>
    <w:rsid w:val="009642E6"/>
    <w:rsid w:val="009645E2"/>
    <w:rsid w:val="00965CCC"/>
    <w:rsid w:val="00972BCD"/>
    <w:rsid w:val="0097304E"/>
    <w:rsid w:val="0097647D"/>
    <w:rsid w:val="00983752"/>
    <w:rsid w:val="00983EF6"/>
    <w:rsid w:val="00987E7A"/>
    <w:rsid w:val="009959F3"/>
    <w:rsid w:val="009A11C1"/>
    <w:rsid w:val="009A27F7"/>
    <w:rsid w:val="009A292D"/>
    <w:rsid w:val="009A34B6"/>
    <w:rsid w:val="009A4CAF"/>
    <w:rsid w:val="009A69B5"/>
    <w:rsid w:val="009B0D73"/>
    <w:rsid w:val="009B3167"/>
    <w:rsid w:val="009B511E"/>
    <w:rsid w:val="009C020C"/>
    <w:rsid w:val="009C2B2E"/>
    <w:rsid w:val="009C5D67"/>
    <w:rsid w:val="009C698C"/>
    <w:rsid w:val="009C7A2D"/>
    <w:rsid w:val="009C7CE4"/>
    <w:rsid w:val="009D6984"/>
    <w:rsid w:val="009E4A3B"/>
    <w:rsid w:val="009F0653"/>
    <w:rsid w:val="009F1D8D"/>
    <w:rsid w:val="009F7FCB"/>
    <w:rsid w:val="00A00B17"/>
    <w:rsid w:val="00A014C1"/>
    <w:rsid w:val="00A042A1"/>
    <w:rsid w:val="00A052F0"/>
    <w:rsid w:val="00A1042E"/>
    <w:rsid w:val="00A1301E"/>
    <w:rsid w:val="00A1794D"/>
    <w:rsid w:val="00A207E1"/>
    <w:rsid w:val="00A220C6"/>
    <w:rsid w:val="00A2358C"/>
    <w:rsid w:val="00A2663A"/>
    <w:rsid w:val="00A31C85"/>
    <w:rsid w:val="00A32C2E"/>
    <w:rsid w:val="00A33799"/>
    <w:rsid w:val="00A33A9E"/>
    <w:rsid w:val="00A42B01"/>
    <w:rsid w:val="00A459A1"/>
    <w:rsid w:val="00A623DF"/>
    <w:rsid w:val="00A67B5E"/>
    <w:rsid w:val="00A72E16"/>
    <w:rsid w:val="00A76003"/>
    <w:rsid w:val="00A76D78"/>
    <w:rsid w:val="00A83039"/>
    <w:rsid w:val="00A83140"/>
    <w:rsid w:val="00A843DA"/>
    <w:rsid w:val="00A84830"/>
    <w:rsid w:val="00AA172B"/>
    <w:rsid w:val="00AA2334"/>
    <w:rsid w:val="00AA4DC4"/>
    <w:rsid w:val="00AB05C6"/>
    <w:rsid w:val="00AB14B1"/>
    <w:rsid w:val="00AB66D7"/>
    <w:rsid w:val="00AC32C6"/>
    <w:rsid w:val="00AD4522"/>
    <w:rsid w:val="00AD7BA1"/>
    <w:rsid w:val="00AE3BCF"/>
    <w:rsid w:val="00AF5247"/>
    <w:rsid w:val="00AF78C6"/>
    <w:rsid w:val="00AF7CB4"/>
    <w:rsid w:val="00B00961"/>
    <w:rsid w:val="00B02934"/>
    <w:rsid w:val="00B11A5E"/>
    <w:rsid w:val="00B12237"/>
    <w:rsid w:val="00B12F3C"/>
    <w:rsid w:val="00B24FF7"/>
    <w:rsid w:val="00B2543C"/>
    <w:rsid w:val="00B26192"/>
    <w:rsid w:val="00B262CD"/>
    <w:rsid w:val="00B40A66"/>
    <w:rsid w:val="00B50CF4"/>
    <w:rsid w:val="00B56E05"/>
    <w:rsid w:val="00B57B39"/>
    <w:rsid w:val="00B6632A"/>
    <w:rsid w:val="00B67C18"/>
    <w:rsid w:val="00B70C17"/>
    <w:rsid w:val="00B74F9C"/>
    <w:rsid w:val="00B801E0"/>
    <w:rsid w:val="00B82637"/>
    <w:rsid w:val="00B83422"/>
    <w:rsid w:val="00B841C1"/>
    <w:rsid w:val="00B8765A"/>
    <w:rsid w:val="00B92A27"/>
    <w:rsid w:val="00B948DD"/>
    <w:rsid w:val="00B955B3"/>
    <w:rsid w:val="00BA15F6"/>
    <w:rsid w:val="00BA6297"/>
    <w:rsid w:val="00BB0CAA"/>
    <w:rsid w:val="00BB11A8"/>
    <w:rsid w:val="00BB2026"/>
    <w:rsid w:val="00BB4CC4"/>
    <w:rsid w:val="00BB5880"/>
    <w:rsid w:val="00BB5FC7"/>
    <w:rsid w:val="00BC3B43"/>
    <w:rsid w:val="00BC44C7"/>
    <w:rsid w:val="00BC5535"/>
    <w:rsid w:val="00BE02A7"/>
    <w:rsid w:val="00BE2788"/>
    <w:rsid w:val="00BE6F4C"/>
    <w:rsid w:val="00BE7E70"/>
    <w:rsid w:val="00BF460C"/>
    <w:rsid w:val="00BF5F9C"/>
    <w:rsid w:val="00C02F99"/>
    <w:rsid w:val="00C05D8E"/>
    <w:rsid w:val="00C06B20"/>
    <w:rsid w:val="00C06CBE"/>
    <w:rsid w:val="00C10259"/>
    <w:rsid w:val="00C123C3"/>
    <w:rsid w:val="00C126DF"/>
    <w:rsid w:val="00C153A3"/>
    <w:rsid w:val="00C15DBB"/>
    <w:rsid w:val="00C2314E"/>
    <w:rsid w:val="00C35848"/>
    <w:rsid w:val="00C444EA"/>
    <w:rsid w:val="00C50DF8"/>
    <w:rsid w:val="00C5114A"/>
    <w:rsid w:val="00C55BB5"/>
    <w:rsid w:val="00C55F6E"/>
    <w:rsid w:val="00C64953"/>
    <w:rsid w:val="00C745E3"/>
    <w:rsid w:val="00C75C2E"/>
    <w:rsid w:val="00C766EF"/>
    <w:rsid w:val="00C773FC"/>
    <w:rsid w:val="00C807AA"/>
    <w:rsid w:val="00C80EE6"/>
    <w:rsid w:val="00C817A7"/>
    <w:rsid w:val="00C82441"/>
    <w:rsid w:val="00C83017"/>
    <w:rsid w:val="00C861B2"/>
    <w:rsid w:val="00C94275"/>
    <w:rsid w:val="00CA2A8B"/>
    <w:rsid w:val="00CA2ADF"/>
    <w:rsid w:val="00CA65E9"/>
    <w:rsid w:val="00CB4339"/>
    <w:rsid w:val="00CB6A55"/>
    <w:rsid w:val="00CC06D4"/>
    <w:rsid w:val="00CC11F6"/>
    <w:rsid w:val="00CC1890"/>
    <w:rsid w:val="00CC480B"/>
    <w:rsid w:val="00CC72C5"/>
    <w:rsid w:val="00CC7310"/>
    <w:rsid w:val="00CD332E"/>
    <w:rsid w:val="00CD41C2"/>
    <w:rsid w:val="00CD603D"/>
    <w:rsid w:val="00CE06FC"/>
    <w:rsid w:val="00CE4335"/>
    <w:rsid w:val="00CF0F2B"/>
    <w:rsid w:val="00D03331"/>
    <w:rsid w:val="00D0647B"/>
    <w:rsid w:val="00D073EA"/>
    <w:rsid w:val="00D12776"/>
    <w:rsid w:val="00D2092D"/>
    <w:rsid w:val="00D23CA1"/>
    <w:rsid w:val="00D23CA9"/>
    <w:rsid w:val="00D31AFE"/>
    <w:rsid w:val="00D32F18"/>
    <w:rsid w:val="00D332D6"/>
    <w:rsid w:val="00D346FC"/>
    <w:rsid w:val="00D35444"/>
    <w:rsid w:val="00D3691D"/>
    <w:rsid w:val="00D371C4"/>
    <w:rsid w:val="00D455A2"/>
    <w:rsid w:val="00D471D1"/>
    <w:rsid w:val="00D50E81"/>
    <w:rsid w:val="00D634D8"/>
    <w:rsid w:val="00D63C2D"/>
    <w:rsid w:val="00D651FF"/>
    <w:rsid w:val="00D71DEB"/>
    <w:rsid w:val="00D73882"/>
    <w:rsid w:val="00D80609"/>
    <w:rsid w:val="00D82BB6"/>
    <w:rsid w:val="00DA100A"/>
    <w:rsid w:val="00DA25AD"/>
    <w:rsid w:val="00DA73E5"/>
    <w:rsid w:val="00DB0090"/>
    <w:rsid w:val="00DB1679"/>
    <w:rsid w:val="00DB7696"/>
    <w:rsid w:val="00DC2F1C"/>
    <w:rsid w:val="00DC2F84"/>
    <w:rsid w:val="00DC4BA2"/>
    <w:rsid w:val="00DD4C8D"/>
    <w:rsid w:val="00DD63C9"/>
    <w:rsid w:val="00DD7FB4"/>
    <w:rsid w:val="00DE5082"/>
    <w:rsid w:val="00DF1C7E"/>
    <w:rsid w:val="00DF4037"/>
    <w:rsid w:val="00DF4AB0"/>
    <w:rsid w:val="00DF66EE"/>
    <w:rsid w:val="00DF77D7"/>
    <w:rsid w:val="00E00371"/>
    <w:rsid w:val="00E07A31"/>
    <w:rsid w:val="00E156C9"/>
    <w:rsid w:val="00E17346"/>
    <w:rsid w:val="00E20907"/>
    <w:rsid w:val="00E23047"/>
    <w:rsid w:val="00E23270"/>
    <w:rsid w:val="00E266A1"/>
    <w:rsid w:val="00E27A3F"/>
    <w:rsid w:val="00E309FD"/>
    <w:rsid w:val="00E403D4"/>
    <w:rsid w:val="00E40B95"/>
    <w:rsid w:val="00E50150"/>
    <w:rsid w:val="00E5049F"/>
    <w:rsid w:val="00E51089"/>
    <w:rsid w:val="00E5400A"/>
    <w:rsid w:val="00E61308"/>
    <w:rsid w:val="00E61E70"/>
    <w:rsid w:val="00E64653"/>
    <w:rsid w:val="00E67E38"/>
    <w:rsid w:val="00E76995"/>
    <w:rsid w:val="00E80E43"/>
    <w:rsid w:val="00E8311C"/>
    <w:rsid w:val="00E87A04"/>
    <w:rsid w:val="00E922B4"/>
    <w:rsid w:val="00E94534"/>
    <w:rsid w:val="00E97970"/>
    <w:rsid w:val="00EA3A68"/>
    <w:rsid w:val="00EA4003"/>
    <w:rsid w:val="00EB0151"/>
    <w:rsid w:val="00EB3065"/>
    <w:rsid w:val="00EB7ED2"/>
    <w:rsid w:val="00EC43C8"/>
    <w:rsid w:val="00ED1806"/>
    <w:rsid w:val="00ED23BA"/>
    <w:rsid w:val="00ED369B"/>
    <w:rsid w:val="00ED3F02"/>
    <w:rsid w:val="00ED457C"/>
    <w:rsid w:val="00EE0B92"/>
    <w:rsid w:val="00EE0F0E"/>
    <w:rsid w:val="00EE6702"/>
    <w:rsid w:val="00EE68D2"/>
    <w:rsid w:val="00EF14B7"/>
    <w:rsid w:val="00EF44AD"/>
    <w:rsid w:val="00F014F8"/>
    <w:rsid w:val="00F13937"/>
    <w:rsid w:val="00F17267"/>
    <w:rsid w:val="00F27587"/>
    <w:rsid w:val="00F307F9"/>
    <w:rsid w:val="00F3131F"/>
    <w:rsid w:val="00F32538"/>
    <w:rsid w:val="00F34A00"/>
    <w:rsid w:val="00F34D93"/>
    <w:rsid w:val="00F62AEB"/>
    <w:rsid w:val="00F66A6D"/>
    <w:rsid w:val="00F70183"/>
    <w:rsid w:val="00F72010"/>
    <w:rsid w:val="00F76428"/>
    <w:rsid w:val="00F77798"/>
    <w:rsid w:val="00F77B4D"/>
    <w:rsid w:val="00F820F7"/>
    <w:rsid w:val="00F827A0"/>
    <w:rsid w:val="00F83A44"/>
    <w:rsid w:val="00F85C22"/>
    <w:rsid w:val="00F86B12"/>
    <w:rsid w:val="00F87AC6"/>
    <w:rsid w:val="00F87E6E"/>
    <w:rsid w:val="00F9745D"/>
    <w:rsid w:val="00F979AC"/>
    <w:rsid w:val="00FA075E"/>
    <w:rsid w:val="00FA59B3"/>
    <w:rsid w:val="00FA6353"/>
    <w:rsid w:val="00FB32DE"/>
    <w:rsid w:val="00FB7A50"/>
    <w:rsid w:val="00FC0DF5"/>
    <w:rsid w:val="00FC44B5"/>
    <w:rsid w:val="00FC6127"/>
    <w:rsid w:val="00FC7A4D"/>
    <w:rsid w:val="00FD08A0"/>
    <w:rsid w:val="00FD2E42"/>
    <w:rsid w:val="00FD4AA6"/>
    <w:rsid w:val="00FE0183"/>
    <w:rsid w:val="00FE2B9E"/>
    <w:rsid w:val="00FE6555"/>
    <w:rsid w:val="00FE6C9A"/>
    <w:rsid w:val="00FF4D7B"/>
    <w:rsid w:val="00FF51E1"/>
    <w:rsid w:val="24BB13F1"/>
    <w:rsid w:val="70994829"/>
    <w:rsid w:val="7D4D07F8"/>
    <w:rsid w:val="7FFFB180"/>
    <w:rsid w:val="DDCF42C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4">
    <w:name w:val="Body Text Indent 2"/>
    <w:basedOn w:val="1"/>
    <w:uiPriority w:val="0"/>
    <w:pPr>
      <w:widowControl/>
      <w:spacing w:before="100" w:beforeAutospacing="1" w:after="100" w:afterAutospacing="1"/>
      <w:jc w:val="left"/>
    </w:pPr>
    <w:rPr>
      <w:rFonts w:ascii="宋体" w:hAnsi="宋体" w:cs="宋体"/>
      <w:kern w:val="0"/>
      <w:sz w:val="24"/>
    </w:rPr>
  </w:style>
  <w:style w:type="paragraph" w:styleId="5">
    <w:name w:val="Balloon Text"/>
    <w:basedOn w:val="1"/>
    <w:semiHidden/>
    <w:uiPriority w:val="0"/>
    <w:rPr>
      <w:sz w:val="18"/>
      <w:szCs w:val="18"/>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qFormat/>
    <w:uiPriority w:val="0"/>
    <w:rPr>
      <w:b/>
      <w:bCs/>
    </w:rPr>
  </w:style>
  <w:style w:type="character" w:styleId="12">
    <w:name w:val="Hyperlink"/>
    <w:qFormat/>
    <w:uiPriority w:val="0"/>
    <w:rPr>
      <w:color w:val="0068B7"/>
      <w:u w:val="none"/>
    </w:rPr>
  </w:style>
  <w:style w:type="character" w:customStyle="1" w:styleId="13">
    <w:name w:val="141"/>
    <w:qFormat/>
    <w:uiPriority w:val="0"/>
    <w:rPr>
      <w:sz w:val="21"/>
      <w:szCs w:val="21"/>
    </w:rPr>
  </w:style>
  <w:style w:type="character" w:customStyle="1" w:styleId="14">
    <w:name w:val="ztag pre"/>
    <w:basedOn w:val="10"/>
    <w:qFormat/>
    <w:uiPriority w:val="0"/>
  </w:style>
  <w:style w:type="character" w:customStyle="1" w:styleId="15">
    <w:name w:val="已访问的超链接1"/>
    <w:qFormat/>
    <w:uiPriority w:val="0"/>
    <w:rPr>
      <w:color w:val="800080"/>
      <w:u w:val="single"/>
    </w:rPr>
  </w:style>
  <w:style w:type="paragraph" w:customStyle="1" w:styleId="16">
    <w:name w:val="列表段落1"/>
    <w:basedOn w:val="1"/>
    <w:qFormat/>
    <w:uiPriority w:val="34"/>
    <w:pPr>
      <w:ind w:firstLine="420" w:firstLineChars="200"/>
    </w:pPr>
  </w:style>
  <w:style w:type="paragraph" w:styleId="17">
    <w:name w:val="List Paragraph"/>
    <w:basedOn w:val="1"/>
    <w:qFormat/>
    <w:uiPriority w:val="34"/>
    <w:pPr>
      <w:ind w:firstLine="420" w:firstLineChars="200"/>
    </w:pPr>
  </w:style>
  <w:style w:type="character" w:customStyle="1" w:styleId="18">
    <w:name w:val="Unresolved Mention"/>
    <w:basedOn w:val="10"/>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5574B91-942C-480B-9B03-F96CC85A867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542</Words>
  <Characters>3090</Characters>
  <Lines>25</Lines>
  <Paragraphs>7</Paragraphs>
  <TotalTime>0</TotalTime>
  <ScaleCrop>false</ScaleCrop>
  <LinksUpToDate>false</LinksUpToDate>
  <CharactersWithSpaces>3625</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2019-12-13T02:05:00Z</dcterms:created>
  <dc:creator>全美国际教育协会</dc:creator>
  <cp:lastModifiedBy>Julia</cp:lastModifiedBy>
  <cp:lastPrinted>2011-12-17T00:54:00Z</cp:lastPrinted>
  <dcterms:modified xsi:type="dcterms:W3CDTF">2019-12-27T02:53:10Z</dcterms:modified>
  <dc:title>加州大学河滨分校短期访学项目</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