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inline distT="0" distB="0" distL="0" distR="0">
            <wp:extent cx="857250" cy="299720"/>
            <wp:effectExtent l="0" t="0" r="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加拿大多伦多大学新书院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国际英语项目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kern w:val="0"/>
          <w:sz w:val="28"/>
          <w:szCs w:val="28"/>
        </w:rPr>
      </w:pPr>
      <w:r>
        <w:rPr>
          <w:rFonts w:asciiTheme="minorHAnsi" w:hAnsiTheme="minorHAnsi" w:eastAsiaTheme="majorEastAsia" w:cstheme="minorHAnsi"/>
          <w:kern w:val="0"/>
          <w:sz w:val="28"/>
          <w:szCs w:val="28"/>
        </w:rPr>
        <w:t>New College, University of Toronto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0"/>
          <w:szCs w:val="30"/>
        </w:rPr>
      </w:pPr>
      <w:r>
        <w:rPr>
          <w:rFonts w:asciiTheme="minorHAnsi" w:hAnsiTheme="minorHAnsi" w:eastAsiaTheme="majorEastAsia" w:cstheme="minorHAnsi"/>
          <w:b/>
          <w:kern w:val="0"/>
          <w:sz w:val="30"/>
          <w:szCs w:val="30"/>
        </w:rPr>
        <w:t>International English Programs</w:t>
      </w:r>
    </w:p>
    <w:p>
      <w:pPr>
        <w:widowControl/>
        <w:spacing w:line="360" w:lineRule="auto"/>
        <w:jc w:val="center"/>
        <w:rPr>
          <w:rFonts w:cs="Calibri" w:asciiTheme="minorHAnsi" w:hAnsiTheme="minorHAnsi"/>
          <w:b/>
          <w:kern w:val="0"/>
          <w:szCs w:val="21"/>
        </w:rPr>
      </w:pPr>
      <w:r>
        <w:rPr>
          <w:rFonts w:hint="eastAsia" w:cs="Calibri" w:asciiTheme="minorHAnsi" w:hAnsiTheme="minorHAnsi"/>
          <w:b/>
          <w:kern w:val="0"/>
          <w:szCs w:val="21"/>
        </w:rPr>
        <w:t>2020年6月29日–7月24日，或7月27日–8月21日</w:t>
      </w:r>
    </w:p>
    <w:p>
      <w:pPr>
        <w:widowControl/>
        <w:spacing w:line="360" w:lineRule="auto"/>
        <w:rPr>
          <w:rFonts w:cs="Calibri" w:asciiTheme="minorHAnsi" w:hAnsi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一、项目综述</w:t>
      </w:r>
    </w:p>
    <w:p>
      <w:pPr>
        <w:widowControl/>
        <w:spacing w:line="360" w:lineRule="auto"/>
        <w:ind w:firstLine="420" w:firstLineChars="200"/>
        <w:jc w:val="left"/>
        <w:rPr>
          <w:rFonts w:ascii="Arial" w:hAnsi="Arial" w:cs="Arial"/>
          <w:color w:val="333333"/>
          <w:kern w:val="0"/>
          <w:szCs w:val="21"/>
        </w:rPr>
      </w:pPr>
      <w:r>
        <w:rPr>
          <w:rFonts w:hint="eastAsia" w:ascii="Arial" w:hAnsi="Arial" w:cs="Arial"/>
          <w:color w:val="333333"/>
          <w:kern w:val="0"/>
          <w:szCs w:val="21"/>
        </w:rPr>
        <w:t>创建于1962年的新书院（New College）是多伦多</w:t>
      </w:r>
      <w:r>
        <w:rPr>
          <w:rFonts w:ascii="Arial" w:hAnsi="Arial" w:cs="Arial"/>
          <w:color w:val="333333"/>
          <w:kern w:val="0"/>
          <w:szCs w:val="21"/>
        </w:rPr>
        <w:t>大学主校区</w:t>
      </w:r>
      <w:r>
        <w:rPr>
          <w:rFonts w:hint="eastAsia" w:ascii="Arial" w:hAnsi="Arial" w:cs="Arial"/>
          <w:color w:val="333333"/>
          <w:kern w:val="0"/>
          <w:szCs w:val="21"/>
        </w:rPr>
        <w:t>圣乔治校区最大的一所学院，学生数量超过5,000名。新书院致力于为学生提供高质量的学术支持、跨学科课程、学习设施以及住宿体验。参加新书院暑期访学项目的学生，可选报语言文化类课程。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多伦多作为全球最多元化和宜居的城市之一，也为学生提供了无与伦比的语言学习环境。</w:t>
      </w:r>
    </w:p>
    <w:p>
      <w:pPr>
        <w:widowControl/>
        <w:spacing w:line="360" w:lineRule="auto"/>
        <w:ind w:left="510"/>
        <w:jc w:val="left"/>
        <w:rPr>
          <w:rFonts w:cs="Arial" w:asciiTheme="minorHAnsi" w:hAnsiTheme="minorHAnsi"/>
          <w:color w:val="333333"/>
          <w:kern w:val="0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全美国际教育协会作为多伦多大学新书院在中国的正式授权机构，负责选拔优秀中国大学生，于2020年暑期前往新书院参加为期四周的语言文化课程。项目</w:t>
      </w:r>
      <w:r>
        <w:rPr>
          <w:rFonts w:asciiTheme="minorHAnsi" w:hAnsiTheme="minorHAnsi" w:eastAsiaTheme="majorEastAsia" w:cstheme="minorHAnsi"/>
          <w:kern w:val="0"/>
          <w:szCs w:val="21"/>
        </w:rPr>
        <w:t>学生</w:t>
      </w:r>
      <w:r>
        <w:rPr>
          <w:rFonts w:hint="eastAsia" w:asciiTheme="minorHAnsi" w:hAnsiTheme="minorHAnsi" w:eastAsiaTheme="majorEastAsia" w:cstheme="minorHAnsi"/>
          <w:szCs w:val="21"/>
        </w:rPr>
        <w:t>将与其它参加语言课程的国际学生混班上课，迅速提升自身的英语水平，同时体验加拿大的社会与文化。</w:t>
      </w:r>
    </w:p>
    <w:p>
      <w:pPr>
        <w:widowControl/>
        <w:spacing w:line="360" w:lineRule="auto"/>
        <w:jc w:val="left"/>
        <w:rPr>
          <w:rFonts w:cs="Arial" w:asciiTheme="minorHAnsi" w:hAnsiTheme="minorHAnsi"/>
          <w:color w:val="333333"/>
          <w:kern w:val="0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【体验北美纯正英语课程】参加加拿大名校的优质语言课程，每周20小时以上的强化学习，有效提升语言技巧；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【聆听大学专业讲座】新书院为参加国际英语项目的学生，提供每周参加学院专业讲座的宝贵机会，以丰富学生的学习体验；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【多伦多大学成绩单和学习证书】获得多伦多大学新书院出具的正式成绩单及学习证明，为个人履历添砖加瓦；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【和国际学生一起上课，结交各国好友】与来自其它国家的学生共同学习、提高跨文化沟通技能，收获知识与友谊；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cs="Calibri" w:asciiTheme="minorHAnsi" w:hAnsiTheme="minorHAnsi"/>
          <w:szCs w:val="21"/>
        </w:rPr>
      </w:pPr>
      <w: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158750</wp:posOffset>
            </wp:positionH>
            <wp:positionV relativeFrom="paragraph">
              <wp:posOffset>738505</wp:posOffset>
            </wp:positionV>
            <wp:extent cx="5274310" cy="2040255"/>
            <wp:effectExtent l="0" t="0" r="254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0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Calibri" w:asciiTheme="minorHAnsi" w:hAnsiTheme="minorHAnsi"/>
          <w:szCs w:val="21"/>
        </w:rPr>
        <w:t>【丰富的文化活动体验】学生可利用课余时间</w:t>
      </w:r>
      <w:r>
        <w:rPr>
          <w:rFonts w:hint="eastAsia" w:asciiTheme="minorHAnsi" w:hAnsiTheme="minorHAnsi" w:eastAsiaTheme="majorEastAsia" w:cstheme="minorHAnsi"/>
          <w:szCs w:val="21"/>
        </w:rPr>
        <w:t>游览著名的尼亚加拉瀑布、参观博物馆、参加各类体育活动</w:t>
      </w:r>
      <w:r>
        <w:rPr>
          <w:rFonts w:hint="eastAsia" w:cs="Calibri" w:asciiTheme="minorHAnsi" w:hAnsiTheme="minorHAnsi"/>
          <w:szCs w:val="21"/>
        </w:rPr>
        <w:t>等。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三、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多伦多大学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Arial" w:asciiTheme="minorHAnsi" w:hAnsiTheme="minorHAnsi"/>
          <w:color w:val="333333"/>
          <w:kern w:val="0"/>
          <w:szCs w:val="21"/>
        </w:rPr>
        <w:t>始建于1827年，加拿大顶尖学府，也是世界范围享有盛誉的</w:t>
      </w:r>
      <w:r>
        <w:rPr>
          <w:rFonts w:cs="Arial" w:asciiTheme="minorHAnsi" w:hAnsiTheme="minorHAnsi"/>
          <w:bCs/>
          <w:color w:val="333333"/>
          <w:kern w:val="0"/>
          <w:szCs w:val="21"/>
        </w:rPr>
        <w:t>公立研究性大学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；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/>
        </w:rPr>
        <w:t>20</w:t>
      </w:r>
      <w:r>
        <w:rPr>
          <w:rFonts w:hint="eastAsia" w:asciiTheme="minorHAnsi" w:hAnsiTheme="minorHAnsi"/>
        </w:rPr>
        <w:t>20</w:t>
      </w:r>
      <w:r>
        <w:rPr>
          <w:rFonts w:asciiTheme="minorHAnsi" w:hAnsiTheme="minorHAnsi"/>
        </w:rPr>
        <w:t>年《美国新闻与世界报道》全球大学综合排名第</w:t>
      </w:r>
      <w:r>
        <w:rPr>
          <w:rFonts w:hint="eastAsia" w:asciiTheme="minorHAnsi" w:hAnsiTheme="minorHAnsi"/>
        </w:rPr>
        <w:t>18；2020年Times高等教育世界大学综合排名</w:t>
      </w:r>
      <w:r>
        <w:rPr>
          <w:rFonts w:asciiTheme="minorHAnsi" w:hAnsiTheme="minorHAnsi"/>
        </w:rPr>
        <w:t>第</w:t>
      </w:r>
      <w:r>
        <w:rPr>
          <w:rFonts w:hint="eastAsia" w:asciiTheme="minorHAnsi" w:hAnsiTheme="minorHAnsi"/>
        </w:rPr>
        <w:t>18</w:t>
      </w:r>
      <w:r>
        <w:rPr>
          <w:rFonts w:asciiTheme="minorHAnsi" w:hAnsiTheme="minorHAnsi"/>
        </w:rPr>
        <w:t>位</w:t>
      </w:r>
      <w:r>
        <w:rPr>
          <w:rFonts w:hint="eastAsia" w:asciiTheme="minorHAnsi" w:hAnsiTheme="minorHAnsi"/>
        </w:rPr>
        <w:t>。</w:t>
      </w:r>
      <w:r>
        <w:rPr>
          <w:rFonts w:asciiTheme="minorHAnsi" w:hAnsiTheme="minorHAnsi"/>
        </w:rPr>
        <w:t>同时，该校也是</w:t>
      </w:r>
      <w:r>
        <w:rPr>
          <w:rFonts w:cs="Arial" w:asciiTheme="minorHAnsi" w:hAnsiTheme="minorHAnsi"/>
          <w:color w:val="333333"/>
          <w:kern w:val="0"/>
        </w:rPr>
        <w:t>美国大学协会</w:t>
      </w:r>
      <w:r>
        <w:rPr>
          <w:rFonts w:cs="Arial" w:asciiTheme="minorHAnsi" w:hAnsiTheme="minorHAnsi"/>
          <w:color w:val="333333"/>
          <w:kern w:val="0"/>
          <w:szCs w:val="21"/>
        </w:rPr>
        <w:t>（北美大学联盟）中仅有的两所非美国学府之一。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cs="Arial" w:asciiTheme="minorHAnsi" w:hAnsiTheme="minorHAnsi"/>
          <w:color w:val="333333"/>
          <w:kern w:val="0"/>
          <w:szCs w:val="21"/>
        </w:rPr>
        <w:t>位于多伦多，是</w:t>
      </w:r>
      <w:r>
        <w:rPr>
          <w:rFonts w:hint="eastAsia" w:ascii="Arial" w:hAnsi="Arial" w:cs="Arial"/>
          <w:color w:val="333333"/>
          <w:kern w:val="0"/>
          <w:szCs w:val="21"/>
        </w:rPr>
        <w:t>加拿大第一大城市与北美第四大城市，也是世界著名的最多元化、最安全宜居的国际化大都市，拥有怡人的环境和高品质的生活。</w:t>
      </w:r>
    </w:p>
    <w:p>
      <w:pPr>
        <w:pStyle w:val="19"/>
        <w:widowControl/>
        <w:spacing w:line="360" w:lineRule="auto"/>
        <w:ind w:left="840" w:firstLine="0" w:firstLineChars="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四、项目详情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2020年</w:t>
      </w:r>
      <w:r>
        <w:rPr>
          <w:rFonts w:hint="eastAsia" w:asciiTheme="minorHAnsi" w:hAnsiTheme="minorHAnsi" w:eastAsiaTheme="majorEastAsia" w:cstheme="minorHAnsi"/>
          <w:szCs w:val="21"/>
        </w:rPr>
        <w:t xml:space="preserve">6月29日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7月24日，或7</w:t>
      </w:r>
      <w:r>
        <w:rPr>
          <w:rFonts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</w:rPr>
        <w:t>27</w:t>
      </w:r>
      <w:r>
        <w:rPr>
          <w:rFonts w:asciiTheme="minorHAnsi" w:hAnsiTheme="minorHAnsi" w:eastAsiaTheme="majorEastAsia" w:cstheme="minorHAnsi"/>
          <w:szCs w:val="21"/>
        </w:rPr>
        <w:t xml:space="preserve">日 – </w:t>
      </w:r>
      <w:r>
        <w:rPr>
          <w:rFonts w:hint="eastAsia" w:asciiTheme="minorHAnsi" w:hAnsiTheme="minorHAnsi" w:eastAsiaTheme="majorEastAsia" w:cstheme="minorHAnsi"/>
          <w:szCs w:val="21"/>
        </w:rPr>
        <w:t>8</w:t>
      </w:r>
      <w:r>
        <w:rPr>
          <w:rFonts w:asciiTheme="minorHAnsi" w:hAnsiTheme="minorHAnsi" w:eastAsiaTheme="majorEastAsia" w:cstheme="minorHAnsi"/>
          <w:szCs w:val="21"/>
        </w:rPr>
        <w:t>月</w:t>
      </w:r>
      <w:r>
        <w:rPr>
          <w:rFonts w:hint="eastAsia" w:asciiTheme="minorHAnsi" w:hAnsiTheme="minorHAnsi" w:eastAsiaTheme="majorEastAsia" w:cstheme="minorHAnsi"/>
          <w:szCs w:val="21"/>
        </w:rPr>
        <w:t>21</w:t>
      </w:r>
      <w:r>
        <w:rPr>
          <w:rFonts w:asciiTheme="minorHAnsi" w:hAnsiTheme="minorHAnsi" w:eastAsiaTheme="majorEastAsia" w:cstheme="minorHAnsi"/>
          <w:szCs w:val="21"/>
        </w:rPr>
        <w:t>日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（4周）</w:t>
      </w:r>
      <w:r>
        <w:rPr>
          <w:rFonts w:cs="Arial" w:asciiTheme="minorHAnsi" w:hAnsiTheme="minorHAnsi"/>
          <w:color w:val="333333"/>
          <w:kern w:val="0"/>
          <w:szCs w:val="21"/>
        </w:rPr>
        <w:t xml:space="preserve">   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br w:type="textWrapping"/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参加多伦多大学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新书院国际英语</w:t>
      </w:r>
      <w:r>
        <w:rPr>
          <w:rFonts w:asciiTheme="minorHAnsi" w:hAnsiTheme="minorHAnsi" w:eastAsiaTheme="majorEastAsia" w:cstheme="minorHAnsi"/>
          <w:kern w:val="0"/>
          <w:szCs w:val="21"/>
        </w:rPr>
        <w:t>项目的学生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，</w:t>
      </w:r>
      <w:r>
        <w:rPr>
          <w:rFonts w:asciiTheme="minorHAnsi" w:hAnsiTheme="minorHAnsi" w:eastAsiaTheme="majorEastAsia" w:cstheme="minorHAnsi"/>
          <w:szCs w:val="21"/>
        </w:rPr>
        <w:t>可选报</w:t>
      </w:r>
      <w:r>
        <w:rPr>
          <w:rFonts w:hint="eastAsia" w:asciiTheme="minorHAnsi" w:hAnsiTheme="minorHAnsi" w:eastAsiaTheme="majorEastAsia" w:cstheme="minorHAnsi"/>
          <w:szCs w:val="21"/>
        </w:rPr>
        <w:t>三</w:t>
      </w:r>
      <w:r>
        <w:rPr>
          <w:rFonts w:asciiTheme="minorHAnsi" w:hAnsiTheme="minorHAnsi" w:eastAsiaTheme="majorEastAsia" w:cstheme="minorHAnsi"/>
          <w:szCs w:val="21"/>
        </w:rPr>
        <w:t>类</w:t>
      </w:r>
      <w:r>
        <w:rPr>
          <w:rFonts w:hint="eastAsia" w:asciiTheme="minorHAnsi" w:hAnsiTheme="minorHAnsi" w:eastAsiaTheme="majorEastAsia" w:cstheme="minorHAnsi"/>
          <w:szCs w:val="21"/>
        </w:rPr>
        <w:t>语言</w:t>
      </w:r>
      <w:r>
        <w:rPr>
          <w:rFonts w:asciiTheme="minorHAnsi" w:hAnsiTheme="minorHAnsi" w:eastAsiaTheme="majorEastAsia" w:cstheme="minorHAnsi"/>
          <w:szCs w:val="21"/>
        </w:rPr>
        <w:t>文化课程</w:t>
      </w:r>
      <w:r>
        <w:rPr>
          <w:rFonts w:hint="eastAsia" w:asciiTheme="minorHAnsi" w:hAnsiTheme="minorHAnsi" w:eastAsiaTheme="majorEastAsia" w:cstheme="minorHAnsi"/>
          <w:szCs w:val="21"/>
        </w:rPr>
        <w:t>：</w:t>
      </w:r>
      <w:r>
        <w:rPr>
          <w:rFonts w:asciiTheme="minorHAnsi" w:hAnsiTheme="minorHAnsi" w:eastAsiaTheme="majorEastAsia" w:cstheme="minorHAnsi"/>
          <w:szCs w:val="21"/>
        </w:rPr>
        <w:t xml:space="preserve"> 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hint="eastAsia" w:asciiTheme="minorHAnsi" w:hAnsiTheme="minorHAnsi" w:eastAsiaTheme="majorEastAsia" w:cstheme="minorHAnsi"/>
          <w:szCs w:val="21"/>
          <w:u w:val="single"/>
        </w:rPr>
        <w:t>课程一：通用英语课程（General English Course）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hint="eastAsia" w:asciiTheme="minorHAnsi" w:hAnsiTheme="minorHAnsi" w:eastAsiaTheme="majorEastAsia" w:cstheme="minorHAnsi"/>
          <w:szCs w:val="21"/>
        </w:rPr>
        <w:t>本课程从初级至高级共分为4个级别，旨在全方位提升学生的英语技能，包括口语、听力、写作、阅读与词汇。通过参加本课程，学生将获得英语沟通方面的自信，同时提高语言的流利度和精准度，从而能够更好地使用英语参与不同类型的活动，比如协作项目、参与讨论、进行演示等。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  <w:u w:val="single"/>
        </w:rPr>
      </w:pPr>
      <w:r>
        <w:rPr>
          <w:rFonts w:hint="eastAsia" w:asciiTheme="minorHAnsi" w:hAnsiTheme="minorHAnsi" w:eastAsiaTheme="majorEastAsia" w:cstheme="minorHAnsi"/>
          <w:szCs w:val="21"/>
          <w:u w:val="single"/>
        </w:rPr>
        <w:t>课程二：全球商务英语（English for Global Business）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     参加本课程的学生需具备中级以上的英语水平。课程主要针对有志于从事商业领域工作的学生，提升学生在商务英语方面的流利度与自信心，比如业务介绍、电话或面谈、参加商务会议、进行商业演示、撰写有效的电子邮件、以及跨文化商务沟通等。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  <w:u w:val="single"/>
        </w:rPr>
        <w:t>课程三：学术英语（A</w:t>
      </w:r>
      <w:r>
        <w:rPr>
          <w:rFonts w:asciiTheme="minorHAnsi" w:hAnsiTheme="minorHAnsi" w:eastAsiaTheme="majorEastAsia" w:cstheme="minorHAnsi"/>
          <w:szCs w:val="21"/>
          <w:u w:val="single"/>
        </w:rPr>
        <w:t>cademic English</w:t>
      </w:r>
      <w:r>
        <w:rPr>
          <w:rFonts w:hint="eastAsia" w:asciiTheme="minorHAnsi" w:hAnsiTheme="minorHAnsi" w:eastAsiaTheme="majorEastAsia" w:cstheme="minorHAnsi"/>
          <w:szCs w:val="21"/>
          <w:u w:val="single"/>
        </w:rPr>
        <w:t>）</w:t>
      </w:r>
      <w:r>
        <w:rPr>
          <w:rFonts w:asciiTheme="minorHAnsi" w:hAnsiTheme="minorHAnsi" w:eastAsiaTheme="majorEastAsia" w:cstheme="minorHAnsi"/>
          <w:szCs w:val="21"/>
          <w:u w:val="single"/>
        </w:rPr>
        <w:br w:type="textWrapping"/>
      </w:r>
      <w:r>
        <w:rPr>
          <w:rFonts w:asciiTheme="minorHAnsi" w:hAnsiTheme="minorHAnsi" w:eastAsiaTheme="majorEastAsia" w:cstheme="minorHAnsi"/>
          <w:szCs w:val="21"/>
        </w:rPr>
        <w:t xml:space="preserve">      </w:t>
      </w:r>
      <w:r>
        <w:rPr>
          <w:rFonts w:hint="eastAsia" w:asciiTheme="minorHAnsi" w:hAnsiTheme="minorHAnsi" w:eastAsiaTheme="majorEastAsia" w:cstheme="minorHAnsi"/>
          <w:szCs w:val="21"/>
        </w:rPr>
        <w:t>参加本课程的学生需具备中级以上的英语水平。课程适合希望提升学术英语综合技能的学生，重点关注批判性阅读、口语表达、研讨会讨论、学术笔记、学术写作、研究技巧等核心技能。课程结合了课堂学习与独立研究，学生在课后需要完成阅读和写作作业。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上述三类核心必修课每周15小时，通常在上午9-1</w:t>
      </w:r>
      <w:r>
        <w:rPr>
          <w:rFonts w:asciiTheme="minorHAnsi" w:hAnsiTheme="minorHAnsi" w:eastAsiaTheme="majorEastAsia" w:cstheme="minorHAnsi"/>
          <w:szCs w:val="21"/>
        </w:rPr>
        <w:t>2</w:t>
      </w:r>
      <w:r>
        <w:rPr>
          <w:rFonts w:hint="eastAsia" w:asciiTheme="minorHAnsi" w:hAnsiTheme="minorHAnsi" w:eastAsiaTheme="majorEastAsia" w:cstheme="minorHAnsi"/>
          <w:szCs w:val="21"/>
        </w:rPr>
        <w:t>点上课。每天下午，学生需根据自己的兴趣与实际情况，参加一门每周约6-15小时不等的选修课，可选课程种类包括：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口语与发音技巧：每周10小时，适合各级别学生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托福预备课程：每周15小时，适合中级以上学生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雅思预备课程：每周15小时，适合中级以上学生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大学专业讲座：每周6小时，适合中级以上、上午参加学术英语的学生，可选讲座主题包括应用统计学、全球化影响、社会心理学基础以及进化生物学（实际讲座主题以校方最终公布的信息为准）</w:t>
      </w:r>
    </w:p>
    <w:p>
      <w:pPr>
        <w:tabs>
          <w:tab w:val="left" w:pos="900"/>
        </w:tabs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546100</wp:posOffset>
            </wp:positionH>
            <wp:positionV relativeFrom="paragraph">
              <wp:posOffset>117475</wp:posOffset>
            </wp:positionV>
            <wp:extent cx="4292600" cy="2068830"/>
            <wp:effectExtent l="0" t="0" r="0" b="762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00" cy="2068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sz w:val="22"/>
          <w:szCs w:val="22"/>
        </w:rPr>
      </w:pPr>
    </w:p>
    <w:p>
      <w:pPr>
        <w:spacing w:line="360" w:lineRule="auto"/>
        <w:rPr>
          <w:rFonts w:cs="Calibri" w:asciiTheme="minorHAnsi" w:hAnsiTheme="minorHAnsi"/>
          <w:sz w:val="22"/>
          <w:szCs w:val="22"/>
        </w:rPr>
      </w:pPr>
    </w:p>
    <w:p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</w:p>
    <w:p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</w:p>
    <w:p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</w:p>
    <w:p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>
      <w:pPr>
        <w:spacing w:line="360" w:lineRule="auto"/>
        <w:ind w:firstLine="630" w:firstLineChars="300"/>
        <w:rPr>
          <w:rFonts w:cs="Calibri" w:asciiTheme="minorHAnsi" w:hAnsiTheme="minorHAnsi"/>
          <w:sz w:val="22"/>
          <w:szCs w:val="22"/>
        </w:rPr>
      </w:pPr>
      <w:r>
        <w:rPr>
          <w:rFonts w:asciiTheme="minorHAnsi" w:hAnsiTheme="minorHAnsi" w:eastAsiaTheme="majorEastAsia" w:cstheme="minorHAnsi"/>
          <w:szCs w:val="21"/>
        </w:rPr>
        <w:t>参加</w:t>
      </w:r>
      <w:r>
        <w:rPr>
          <w:rFonts w:hint="eastAsia" w:asciiTheme="minorHAnsi" w:hAnsiTheme="minorHAnsi" w:eastAsiaTheme="majorEastAsia" w:cstheme="minorHAnsi"/>
          <w:szCs w:val="21"/>
        </w:rPr>
        <w:t>课程</w:t>
      </w:r>
      <w:r>
        <w:rPr>
          <w:rFonts w:asciiTheme="minorHAnsi" w:hAnsiTheme="minorHAnsi" w:eastAsiaTheme="majorEastAsia" w:cstheme="minorHAnsi"/>
          <w:szCs w:val="21"/>
        </w:rPr>
        <w:t>的学生与其它语言项目国际学生混合编班，由多大新书院进行统一的学术管理与学术考核，获得多大</w:t>
      </w:r>
      <w:r>
        <w:rPr>
          <w:rFonts w:hint="eastAsia" w:asciiTheme="minorHAnsi" w:hAnsiTheme="minorHAnsi" w:eastAsiaTheme="majorEastAsia" w:cstheme="minorHAnsi"/>
          <w:szCs w:val="21"/>
        </w:rPr>
        <w:t>新书院颁发的</w:t>
      </w:r>
      <w:r>
        <w:rPr>
          <w:rFonts w:asciiTheme="minorHAnsi" w:hAnsiTheme="minorHAnsi" w:eastAsiaTheme="majorEastAsia" w:cstheme="minorHAnsi"/>
          <w:szCs w:val="21"/>
        </w:rPr>
        <w:t>正式成绩单与项目证书。</w:t>
      </w:r>
    </w:p>
    <w:p>
      <w:pPr>
        <w:spacing w:line="360" w:lineRule="auto"/>
        <w:rPr>
          <w:rFonts w:cs="Calibri" w:asciiTheme="minorHAnsi" w:hAnsiTheme="minorHAnsi"/>
          <w:sz w:val="22"/>
          <w:szCs w:val="22"/>
        </w:rPr>
      </w:pPr>
    </w:p>
    <w:p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项目学生均可获得</w:t>
      </w:r>
      <w:r>
        <w:rPr>
          <w:rFonts w:hint="eastAsia" w:asciiTheme="minorHAnsi" w:hAnsiTheme="minorHAnsi" w:eastAsiaTheme="majorEastAsia" w:cstheme="minorHAnsi"/>
          <w:szCs w:val="21"/>
        </w:rPr>
        <w:t>多伦多大学新书院</w:t>
      </w:r>
      <w:r>
        <w:rPr>
          <w:rFonts w:hint="eastAsia" w:cs="Calibri" w:asciiTheme="minorHAnsi" w:hAnsiTheme="minorHAnsi"/>
          <w:szCs w:val="21"/>
        </w:rPr>
        <w:t>提供的学生身份证明信，凭借此文件可在项目期内，按校方规定使用学院设施与教育资源，如图书馆等。</w:t>
      </w:r>
      <w:r>
        <w:rPr>
          <w:rFonts w:hint="eastAsia" w:asciiTheme="minorHAnsi" w:hAnsiTheme="minorHAnsi" w:eastAsiaTheme="majorEastAsia" w:cstheme="minorHAnsi"/>
          <w:szCs w:val="21"/>
        </w:rPr>
        <w:t>同时，</w:t>
      </w:r>
      <w:r>
        <w:rPr>
          <w:rFonts w:hint="eastAsia" w:cs="Calibri" w:asciiTheme="minorHAnsi" w:hAnsiTheme="minorHAnsi"/>
          <w:szCs w:val="21"/>
        </w:rPr>
        <w:t>学生可入住多大新书院的学校宿舍。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5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57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约4,389</w:t>
            </w:r>
            <w:r>
              <w:rPr>
                <w:rFonts w:asciiTheme="minorHAnsi" w:hAnsiTheme="minorHAnsi" w:eastAsiaTheme="majorEastAsia" w:cstheme="minorHAnsi"/>
                <w:szCs w:val="21"/>
              </w:rPr>
              <w:t xml:space="preserve"> – 5,014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加元（约合人民币2.33</w:t>
            </w:r>
            <w:r>
              <w:rPr>
                <w:rFonts w:asciiTheme="minorHAnsi" w:hAnsiTheme="minorHAnsi" w:eastAsiaTheme="majorEastAsia" w:cstheme="minorHAnsi"/>
                <w:szCs w:val="21"/>
              </w:rPr>
              <w:t xml:space="preserve"> – 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2.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66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万元）</w:t>
            </w:r>
          </w:p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注：下午选修课的时长和费用存在差异，以学生最终选课的实际情况为准。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57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申请费、学费、医疗与意外保险、接机、及项目管理费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571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国际机票、签证费、住宿费、个人生活费</w:t>
            </w:r>
          </w:p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注：</w:t>
            </w:r>
            <w:r>
              <w:rPr>
                <w:rFonts w:hint="eastAsia" w:cs="Calibri"/>
                <w:color w:val="000000"/>
                <w:szCs w:val="21"/>
              </w:rPr>
              <w:t>多大新书院的校内住宿费用为每月7</w:t>
            </w:r>
            <w:r>
              <w:rPr>
                <w:rFonts w:hint="eastAsia" w:cs="Calibri" w:asciiTheme="minorHAnsi" w:hAnsiTheme="minorHAns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95</w:t>
            </w:r>
            <w:r>
              <w:rPr>
                <w:rFonts w:hint="eastAsia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加元</w:t>
            </w:r>
          </w:p>
        </w:tc>
      </w:tr>
    </w:tbl>
    <w:p>
      <w:pPr>
        <w:spacing w:line="360" w:lineRule="auto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left="420" w:leftChars="100" w:hanging="210" w:hangingChars="10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2020年</w:t>
      </w:r>
      <w:r>
        <w:rPr>
          <w:rFonts w:hint="eastAsia" w:cs="Calibri" w:asciiTheme="minorHAnsi" w:hAnsiTheme="minorHAnsi"/>
          <w:szCs w:val="21"/>
        </w:rPr>
        <w:t>暑期</w:t>
      </w:r>
      <w:r>
        <w:rPr>
          <w:rFonts w:cs="Calibri" w:asciiTheme="minorHAnsi" w:hAnsiTheme="minorHAnsi"/>
          <w:szCs w:val="21"/>
        </w:rPr>
        <w:t>多伦多大学</w:t>
      </w:r>
      <w:r>
        <w:rPr>
          <w:rFonts w:hint="eastAsia" w:cs="Calibri" w:asciiTheme="minorHAnsi" w:hAnsiTheme="minorHAnsi"/>
          <w:szCs w:val="21"/>
        </w:rPr>
        <w:t>新书院</w:t>
      </w:r>
      <w:r>
        <w:rPr>
          <w:rFonts w:cs="Calibri" w:asciiTheme="minorHAnsi" w:hAnsiTheme="minorHAnsi"/>
          <w:szCs w:val="21"/>
        </w:rPr>
        <w:t>访学项目，我校选拔名额为</w:t>
      </w:r>
      <w:r>
        <w:rPr>
          <w:rFonts w:hint="eastAsia" w:cs="Calibri" w:asciiTheme="minorHAnsi" w:hAnsiTheme="minorHAnsi"/>
          <w:szCs w:val="21"/>
          <w:lang w:val="en-US" w:eastAsia="zh-CN"/>
        </w:rPr>
        <w:t>5</w:t>
      </w:r>
      <w:r>
        <w:rPr>
          <w:rFonts w:cs="Calibri" w:asciiTheme="minorHAnsi" w:hAnsiTheme="minorHAnsi"/>
          <w:szCs w:val="21"/>
        </w:rPr>
        <w:t>名</w:t>
      </w:r>
      <w:r>
        <w:rPr>
          <w:rFonts w:hint="eastAsia" w:cs="Calibri" w:asciiTheme="minorHAnsi" w:hAnsiTheme="minorHAnsi"/>
          <w:szCs w:val="21"/>
        </w:rPr>
        <w:t>。</w:t>
      </w:r>
    </w:p>
    <w:p>
      <w:pPr>
        <w:pStyle w:val="1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项目申请截止日期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：2020年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月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30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日</w:t>
      </w:r>
    </w:p>
    <w:p>
      <w:pPr>
        <w:pStyle w:val="1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19"/>
        <w:numPr>
          <w:ilvl w:val="0"/>
          <w:numId w:val="5"/>
        </w:numPr>
        <w:spacing w:line="360" w:lineRule="auto"/>
        <w:ind w:left="284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仅限本校全日制在校生；且成绩优异、道德品质好，在校期间未受过纪律处分，身心健康，能顺利完成</w:t>
      </w:r>
      <w:r>
        <w:rPr>
          <w:rFonts w:hint="eastAsia" w:asciiTheme="minorHAnsi" w:hAnsiTheme="minorHAnsi" w:eastAsiaTheme="majorEastAsia" w:cstheme="minorHAnsi"/>
          <w:szCs w:val="21"/>
        </w:rPr>
        <w:t>海外</w:t>
      </w:r>
      <w:r>
        <w:rPr>
          <w:rFonts w:asciiTheme="minorHAnsi" w:hAnsiTheme="minorHAnsi" w:eastAsiaTheme="majorEastAsia" w:cstheme="minorHAnsi"/>
          <w:szCs w:val="21"/>
        </w:rPr>
        <w:t>学习任务；</w:t>
      </w:r>
    </w:p>
    <w:p>
      <w:pPr>
        <w:pStyle w:val="19"/>
        <w:numPr>
          <w:ilvl w:val="0"/>
          <w:numId w:val="5"/>
        </w:numPr>
        <w:spacing w:line="360" w:lineRule="auto"/>
        <w:ind w:hanging="136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英语要求：</w:t>
      </w:r>
      <w:r>
        <w:rPr>
          <w:rFonts w:asciiTheme="minorHAnsi" w:hAnsiTheme="minorHAnsi" w:eastAsiaTheme="majorEastAsia" w:cstheme="minorHAnsi"/>
          <w:szCs w:val="21"/>
        </w:rPr>
        <w:t>具有良好的英语基础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asciiTheme="minorHAnsi" w:hAnsiTheme="minorHAnsi" w:eastAsiaTheme="majorEastAsia" w:cstheme="minorHAnsi"/>
          <w:szCs w:val="21"/>
        </w:rPr>
        <w:t>入学参加语言测试</w:t>
      </w:r>
      <w:r>
        <w:rPr>
          <w:rFonts w:hint="eastAsia" w:asciiTheme="minorHAnsi" w:hAnsiTheme="minorHAnsi" w:eastAsiaTheme="majorEastAsia" w:cstheme="minorHAnsi"/>
          <w:szCs w:val="21"/>
        </w:rPr>
        <w:t xml:space="preserve">，全球商务英语和学术英语需要达到中级以上； </w:t>
      </w:r>
    </w:p>
    <w:p>
      <w:pPr>
        <w:pStyle w:val="19"/>
        <w:numPr>
          <w:ilvl w:val="0"/>
          <w:numId w:val="5"/>
        </w:numPr>
        <w:spacing w:line="360" w:lineRule="auto"/>
        <w:ind w:hanging="136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19"/>
        <w:numPr>
          <w:ilvl w:val="0"/>
          <w:numId w:val="5"/>
        </w:numPr>
        <w:spacing w:line="360" w:lineRule="auto"/>
        <w:ind w:hanging="136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通过全美国际教育协会的项目面试、</w:t>
      </w:r>
      <w:r>
        <w:rPr>
          <w:rFonts w:hint="eastAsia" w:asciiTheme="minorHAnsi" w:hAnsiTheme="minorHAnsi" w:eastAsiaTheme="majorEastAsia" w:cstheme="minorHAnsi"/>
          <w:szCs w:val="21"/>
        </w:rPr>
        <w:t>加方</w:t>
      </w:r>
      <w:r>
        <w:rPr>
          <w:rFonts w:asciiTheme="minorHAnsi" w:hAnsiTheme="minorHAnsi" w:eastAsiaTheme="majorEastAsia" w:cstheme="minorHAnsi"/>
          <w:szCs w:val="21"/>
        </w:rPr>
        <w:t>大学的学术审核、以及我校院系及国际交流处的派出资格审核。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360" w:lineRule="auto"/>
        <w:ind w:firstLine="283" w:firstLineChars="135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1） 学生</w:t>
      </w:r>
      <w:r>
        <w:rPr>
          <w:rFonts w:asciiTheme="minorHAnsi" w:hAnsiTheme="minorHAnsi" w:eastAsiaTheme="majorEastAsia" w:cstheme="minorHAnsi"/>
          <w:kern w:val="0"/>
          <w:szCs w:val="21"/>
        </w:rPr>
        <w:t>本人提出申请，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</w:t>
      </w:r>
      <w:r>
        <w:rPr>
          <w:rFonts w:asciiTheme="minorHAnsi" w:hAnsiTheme="minorHAnsi" w:eastAsiaTheme="majorEastAsia" w:cstheme="minorHAnsi"/>
          <w:kern w:val="0"/>
          <w:szCs w:val="21"/>
        </w:rPr>
        <w:t>学校国际合作交流处（外事处）报名；</w:t>
      </w:r>
    </w:p>
    <w:p>
      <w:pPr>
        <w:spacing w:line="360" w:lineRule="auto"/>
        <w:ind w:left="281" w:leftChars="1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2） 同时登录项目选拔管理机构 -- 全美国际教育协会网站www.usiea.org填写《世界名校访学2020-2021学年夏秋项目报名表》，网上报名的时间决定录取的顺序和安排宿舍的顺序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 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jc w:val="left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>学生提交正式申请材料并缴纳项目费用，获得学校录取及签证后赴</w:t>
      </w:r>
      <w:r>
        <w:rPr>
          <w:rFonts w:hint="eastAsia" w:ascii="Calibri" w:hAnsi="Calibri" w:cs="Calibri"/>
          <w:szCs w:val="21"/>
        </w:rPr>
        <w:t>加</w:t>
      </w:r>
      <w:r>
        <w:rPr>
          <w:rFonts w:ascii="Calibri" w:hAnsi="Calibri" w:cs="Calibri"/>
          <w:szCs w:val="21"/>
        </w:rPr>
        <w:t>学习</w:t>
      </w:r>
      <w:r>
        <w:rPr>
          <w:rFonts w:hint="eastAsia" w:ascii="Calibri" w:hAnsi="Calibri" w:cs="Calibri"/>
          <w:szCs w:val="21"/>
        </w:rPr>
        <w:t>；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jc w:val="left"/>
        <w:rPr>
          <w:rFonts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咨询电话：</w:t>
      </w:r>
    </w:p>
    <w:p>
      <w:pPr>
        <w:spacing w:line="360" w:lineRule="auto"/>
        <w:ind w:firstLine="211" w:firstLineChars="100"/>
        <w:rPr>
          <w:rFonts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国际交流处综合楼707 廖老师 电话：020-84096080 </w:t>
      </w:r>
    </w:p>
    <w:p>
      <w:pPr>
        <w:spacing w:line="360" w:lineRule="auto"/>
        <w:ind w:firstLine="211" w:firstLineChars="100"/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全美国际教育协会咨询电话: </w:t>
      </w:r>
    </w:p>
    <w:p>
      <w:pPr>
        <w:spacing w:line="360" w:lineRule="auto"/>
        <w:ind w:firstLine="211" w:firstLineChars="100"/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曾老师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189 2278 0945（微信同，周一至周五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0）</w:t>
      </w:r>
    </w:p>
    <w:p>
      <w:pPr>
        <w:spacing w:line="360" w:lineRule="auto"/>
        <w:ind w:firstLine="211" w:firstLineChars="100"/>
        <w:rPr>
          <w:rFonts w:ascii="Calibri" w:hAnsi="Calibri" w:cs="Calibri"/>
          <w:szCs w:val="21"/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朱老师 138 2976 1018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0）</w:t>
      </w:r>
      <w:bookmarkStart w:id="0" w:name="_GoBack"/>
      <w:bookmarkEnd w:id="0"/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宋体" w:asciiTheme="minorHAnsi" w:hAnsiTheme="minorHAnsi"/>
          <w:kern w:val="0"/>
          <w:szCs w:val="21"/>
        </w:rPr>
      </w:pPr>
      <w:r>
        <w:rPr>
          <w:rFonts w:hint="eastAsia" w:cs="宋体" w:asciiTheme="minorHAnsi" w:hAnsiTheme="minorHAnsi"/>
          <w:kern w:val="0"/>
          <w:szCs w:val="21"/>
        </w:rPr>
        <w:t>———————————————————————————————————————</w:t>
      </w:r>
    </w:p>
    <w:p>
      <w:pPr>
        <w:widowControl/>
        <w:jc w:val="left"/>
        <w:rPr>
          <w:rFonts w:cs="宋体" w:asciiTheme="minorHAnsi" w:hAnsiTheme="minorHAnsi"/>
          <w:b/>
          <w:kern w:val="0"/>
          <w:sz w:val="20"/>
          <w:szCs w:val="21"/>
        </w:rPr>
      </w:pPr>
      <w:r>
        <w:rPr>
          <w:rFonts w:hint="eastAsia" w:cs="宋体" w:asciiTheme="minorHAnsi" w:hAnsiTheme="minorHAnsi"/>
          <w:b/>
          <w:kern w:val="0"/>
          <w:sz w:val="20"/>
          <w:szCs w:val="21"/>
        </w:rPr>
        <w:t>关于全美国际教育协会</w:t>
      </w:r>
    </w:p>
    <w:p>
      <w:pPr>
        <w:widowControl/>
        <w:jc w:val="left"/>
        <w:rPr>
          <w:rFonts w:cs="宋体" w:asciiTheme="minorHAnsi" w:hAnsiTheme="minorHAnsi"/>
          <w:b/>
          <w:kern w:val="0"/>
          <w:sz w:val="20"/>
          <w:szCs w:val="21"/>
        </w:rPr>
      </w:pP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hint="eastAsia" w:cs="宋体" w:asciiTheme="minorHAnsi" w:hAnsiTheme="minorHAnsi"/>
          <w:b/>
          <w:color w:val="0068B7"/>
          <w:kern w:val="0"/>
          <w:sz w:val="20"/>
          <w:szCs w:val="21"/>
        </w:rPr>
        <w:t>www.usiea.org</w:t>
      </w:r>
      <w:r>
        <w:rPr>
          <w:rFonts w:hint="eastAsia" w:cs="宋体" w:asciiTheme="minorHAnsi" w:hAnsiTheme="minorHAnsi"/>
          <w:b/>
          <w:color w:val="0068B7"/>
          <w:kern w:val="0"/>
          <w:sz w:val="20"/>
          <w:szCs w:val="21"/>
        </w:rPr>
        <w:fldChar w:fldCharType="end"/>
      </w:r>
    </w:p>
    <w:p>
      <w:pPr>
        <w:widowControl/>
        <w:jc w:val="left"/>
        <w:rPr>
          <w:rFonts w:cs="宋体" w:asciiTheme="minorHAnsi" w:hAnsiTheme="minorHAnsi"/>
          <w:b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US International Education Association全美国际教育协会是在美国注册的非营利机构，旨在通过与中外高校的合作，为每一位大学生提供高品质的世界名校访学机会，共同培养具备全球胜任力的优秀大学生，促进不同文化间的沟通、理解与合作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受美国宾夕法尼亚大学、哥伦比亚大学、波士顿大学、威斯康星大学麦迪逊分校、加州大学伯克利分校、加州大学圣地亚哥分校、加州大学河滨分校、英国剑桥大学、伦敦政治经济学院、加拿大多伦多大学、麦吉尔大学、英属哥伦比亚大学、澳大利亚昆士兰大学、新南威尔士大学、阿德莱德大学等20多所世界级名校的委托，与中国80多所高校合作选拔品学兼优的学生赴海外参加访学项目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全美国际教育协会在北京、南京、杭州、广州、西安、成都、郑州设有办公室，为中国合作高校和学生提供与访学项目相关的全流程服务。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 w:val="22"/>
        </w:rPr>
        <w:t>www.usiea.org</w:t>
      </w:r>
      <w:r>
        <w:rPr>
          <w:rFonts w:cs="Calibri" w:asciiTheme="minorHAnsi" w:hAnsiTheme="minorHAnsi"/>
          <w:color w:val="0068B7"/>
          <w:kern w:val="0"/>
          <w:sz w:val="22"/>
        </w:rPr>
        <w:fldChar w:fldCharType="end"/>
      </w:r>
      <w:r>
        <w:rPr>
          <w:rFonts w:cs="Calibri" w:asciiTheme="minorHAnsi" w:hAnsiTheme="minorHAnsi"/>
          <w:kern w:val="0"/>
          <w:sz w:val="22"/>
        </w:rPr>
        <w:t xml:space="preserve"> </w:t>
      </w:r>
    </w:p>
    <w:p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项目邮箱咨询：</w:t>
      </w:r>
      <w:r>
        <w:fldChar w:fldCharType="begin"/>
      </w:r>
      <w:r>
        <w:instrText xml:space="preserve"> HYPERLINK "mailto:visituoft@yeah.net" </w:instrText>
      </w:r>
      <w:r>
        <w:fldChar w:fldCharType="separate"/>
      </w:r>
      <w:r>
        <w:rPr>
          <w:rStyle w:val="14"/>
          <w:rFonts w:ascii="Calibri" w:hAnsi="Calibri" w:cs="Calibri"/>
          <w:kern w:val="0"/>
          <w:sz w:val="22"/>
        </w:rPr>
        <w:t>visit</w:t>
      </w:r>
      <w:r>
        <w:rPr>
          <w:rStyle w:val="14"/>
          <w:rFonts w:hint="eastAsia" w:ascii="Calibri" w:hAnsi="Calibri" w:cs="Calibri"/>
          <w:kern w:val="0"/>
          <w:sz w:val="22"/>
        </w:rPr>
        <w:t>uoft</w:t>
      </w:r>
      <w:r>
        <w:rPr>
          <w:rStyle w:val="14"/>
          <w:rFonts w:ascii="Calibri" w:hAnsi="Calibri" w:cs="Calibri"/>
          <w:kern w:val="0"/>
          <w:sz w:val="22"/>
        </w:rPr>
        <w:t>@yeah.net</w:t>
      </w:r>
      <w:r>
        <w:rPr>
          <w:rStyle w:val="14"/>
          <w:rFonts w:ascii="Calibri" w:hAnsi="Calibri" w:cs="Calibri"/>
          <w:kern w:val="0"/>
          <w:sz w:val="22"/>
        </w:rPr>
        <w:fldChar w:fldCharType="end"/>
      </w:r>
      <w:r>
        <w:rPr>
          <w:rStyle w:val="14"/>
          <w:rFonts w:ascii="Calibri" w:hAnsi="Calibri" w:cs="Calibri"/>
          <w:kern w:val="0"/>
          <w:sz w:val="22"/>
        </w:rPr>
        <w:t xml:space="preserve"> </w:t>
      </w:r>
      <w:r>
        <w:rPr>
          <w:rFonts w:asciiTheme="minorHAnsi" w:hAnsiTheme="minorHAnsi"/>
          <w:color w:val="0068B7"/>
        </w:rPr>
        <w:t xml:space="preserve"> </w:t>
      </w:r>
      <w:r>
        <w:rPr>
          <w:rFonts w:asciiTheme="minorHAnsi" w:hAnsiTheme="minorHAnsi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2A9F"/>
    <w:multiLevelType w:val="multilevel"/>
    <w:tmpl w:val="03C72A9F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  <w:sz w:val="15"/>
        <w:szCs w:val="15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154D6311"/>
    <w:multiLevelType w:val="multilevel"/>
    <w:tmpl w:val="154D6311"/>
    <w:lvl w:ilvl="0" w:tentative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1" w:hanging="420"/>
      </w:pPr>
    </w:lvl>
    <w:lvl w:ilvl="2" w:tentative="0">
      <w:start w:val="1"/>
      <w:numFmt w:val="lowerRoman"/>
      <w:lvlText w:val="%3."/>
      <w:lvlJc w:val="right"/>
      <w:pPr>
        <w:ind w:left="1541" w:hanging="420"/>
      </w:pPr>
    </w:lvl>
    <w:lvl w:ilvl="3" w:tentative="0">
      <w:start w:val="1"/>
      <w:numFmt w:val="decimal"/>
      <w:lvlText w:val="%4."/>
      <w:lvlJc w:val="left"/>
      <w:pPr>
        <w:ind w:left="1961" w:hanging="420"/>
      </w:pPr>
    </w:lvl>
    <w:lvl w:ilvl="4" w:tentative="0">
      <w:start w:val="1"/>
      <w:numFmt w:val="lowerLetter"/>
      <w:lvlText w:val="%5)"/>
      <w:lvlJc w:val="left"/>
      <w:pPr>
        <w:ind w:left="2381" w:hanging="420"/>
      </w:pPr>
    </w:lvl>
    <w:lvl w:ilvl="5" w:tentative="0">
      <w:start w:val="1"/>
      <w:numFmt w:val="lowerRoman"/>
      <w:lvlText w:val="%6."/>
      <w:lvlJc w:val="right"/>
      <w:pPr>
        <w:ind w:left="2801" w:hanging="420"/>
      </w:pPr>
    </w:lvl>
    <w:lvl w:ilvl="6" w:tentative="0">
      <w:start w:val="1"/>
      <w:numFmt w:val="decimal"/>
      <w:lvlText w:val="%7."/>
      <w:lvlJc w:val="left"/>
      <w:pPr>
        <w:ind w:left="3221" w:hanging="420"/>
      </w:pPr>
    </w:lvl>
    <w:lvl w:ilvl="7" w:tentative="0">
      <w:start w:val="1"/>
      <w:numFmt w:val="lowerLetter"/>
      <w:lvlText w:val="%8)"/>
      <w:lvlJc w:val="left"/>
      <w:pPr>
        <w:ind w:left="3641" w:hanging="420"/>
      </w:pPr>
    </w:lvl>
    <w:lvl w:ilvl="8" w:tentative="0">
      <w:start w:val="1"/>
      <w:numFmt w:val="lowerRoman"/>
      <w:lvlText w:val="%9."/>
      <w:lvlJc w:val="right"/>
      <w:pPr>
        <w:ind w:left="4061" w:hanging="420"/>
      </w:pPr>
    </w:lvl>
  </w:abstractNum>
  <w:abstractNum w:abstractNumId="2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412E4E01"/>
    <w:multiLevelType w:val="multilevel"/>
    <w:tmpl w:val="412E4E01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">
    <w:nsid w:val="6B074A81"/>
    <w:multiLevelType w:val="multilevel"/>
    <w:tmpl w:val="6B074A81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8F"/>
    <w:rsid w:val="000035D7"/>
    <w:rsid w:val="0000590A"/>
    <w:rsid w:val="00006712"/>
    <w:rsid w:val="00010F31"/>
    <w:rsid w:val="000169DD"/>
    <w:rsid w:val="000176DF"/>
    <w:rsid w:val="00020964"/>
    <w:rsid w:val="00022AFD"/>
    <w:rsid w:val="000230BD"/>
    <w:rsid w:val="00023476"/>
    <w:rsid w:val="000236D2"/>
    <w:rsid w:val="00024C64"/>
    <w:rsid w:val="00025206"/>
    <w:rsid w:val="00027A0F"/>
    <w:rsid w:val="0003068E"/>
    <w:rsid w:val="00030A02"/>
    <w:rsid w:val="00031403"/>
    <w:rsid w:val="000362BD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1D57"/>
    <w:rsid w:val="00065242"/>
    <w:rsid w:val="00067D4B"/>
    <w:rsid w:val="0007638C"/>
    <w:rsid w:val="000820F9"/>
    <w:rsid w:val="000840CC"/>
    <w:rsid w:val="0009206E"/>
    <w:rsid w:val="000954F4"/>
    <w:rsid w:val="000A0A86"/>
    <w:rsid w:val="000A2A22"/>
    <w:rsid w:val="000A4030"/>
    <w:rsid w:val="000A5251"/>
    <w:rsid w:val="000A5300"/>
    <w:rsid w:val="000B1A29"/>
    <w:rsid w:val="000B488B"/>
    <w:rsid w:val="000C2F7C"/>
    <w:rsid w:val="000C3F5B"/>
    <w:rsid w:val="000C4E56"/>
    <w:rsid w:val="000C5C18"/>
    <w:rsid w:val="000C7850"/>
    <w:rsid w:val="000C7F9A"/>
    <w:rsid w:val="000D3060"/>
    <w:rsid w:val="000D4BC5"/>
    <w:rsid w:val="000E03AC"/>
    <w:rsid w:val="000E1209"/>
    <w:rsid w:val="000E3373"/>
    <w:rsid w:val="000E71FC"/>
    <w:rsid w:val="000E7915"/>
    <w:rsid w:val="000F10F6"/>
    <w:rsid w:val="000F140D"/>
    <w:rsid w:val="000F168E"/>
    <w:rsid w:val="000F38D7"/>
    <w:rsid w:val="000F6E7C"/>
    <w:rsid w:val="00100174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5AD"/>
    <w:rsid w:val="00116EF3"/>
    <w:rsid w:val="00120A5E"/>
    <w:rsid w:val="0012340B"/>
    <w:rsid w:val="0012488E"/>
    <w:rsid w:val="00124B0D"/>
    <w:rsid w:val="00125024"/>
    <w:rsid w:val="00127C1E"/>
    <w:rsid w:val="00127FE8"/>
    <w:rsid w:val="00131D30"/>
    <w:rsid w:val="00132D90"/>
    <w:rsid w:val="0013365F"/>
    <w:rsid w:val="00134011"/>
    <w:rsid w:val="00135388"/>
    <w:rsid w:val="00135F93"/>
    <w:rsid w:val="00137744"/>
    <w:rsid w:val="00143294"/>
    <w:rsid w:val="00145F70"/>
    <w:rsid w:val="00146AB9"/>
    <w:rsid w:val="001553F4"/>
    <w:rsid w:val="00167799"/>
    <w:rsid w:val="00167C8D"/>
    <w:rsid w:val="00170451"/>
    <w:rsid w:val="00173611"/>
    <w:rsid w:val="001738F0"/>
    <w:rsid w:val="00176F21"/>
    <w:rsid w:val="00182E04"/>
    <w:rsid w:val="001834A2"/>
    <w:rsid w:val="00186190"/>
    <w:rsid w:val="00192C0F"/>
    <w:rsid w:val="001A0C7A"/>
    <w:rsid w:val="001A281F"/>
    <w:rsid w:val="001A7D56"/>
    <w:rsid w:val="001B1730"/>
    <w:rsid w:val="001C1A51"/>
    <w:rsid w:val="001C58F1"/>
    <w:rsid w:val="001C6985"/>
    <w:rsid w:val="001D2C48"/>
    <w:rsid w:val="001D4042"/>
    <w:rsid w:val="001D458C"/>
    <w:rsid w:val="001D4EF4"/>
    <w:rsid w:val="001E31D7"/>
    <w:rsid w:val="001E5D98"/>
    <w:rsid w:val="001E6096"/>
    <w:rsid w:val="001F49A8"/>
    <w:rsid w:val="001F5524"/>
    <w:rsid w:val="00200AC1"/>
    <w:rsid w:val="00201963"/>
    <w:rsid w:val="00202030"/>
    <w:rsid w:val="00203BFF"/>
    <w:rsid w:val="002133F2"/>
    <w:rsid w:val="00213D09"/>
    <w:rsid w:val="00213D47"/>
    <w:rsid w:val="0021575D"/>
    <w:rsid w:val="0021711E"/>
    <w:rsid w:val="002202A8"/>
    <w:rsid w:val="00220E2D"/>
    <w:rsid w:val="002211FB"/>
    <w:rsid w:val="0022214B"/>
    <w:rsid w:val="002274D9"/>
    <w:rsid w:val="00230EA2"/>
    <w:rsid w:val="0023347E"/>
    <w:rsid w:val="002441C6"/>
    <w:rsid w:val="0024447C"/>
    <w:rsid w:val="002449A1"/>
    <w:rsid w:val="0024592F"/>
    <w:rsid w:val="00251642"/>
    <w:rsid w:val="00255140"/>
    <w:rsid w:val="00257E0D"/>
    <w:rsid w:val="002603A7"/>
    <w:rsid w:val="00261406"/>
    <w:rsid w:val="00261C11"/>
    <w:rsid w:val="00271BCB"/>
    <w:rsid w:val="00275270"/>
    <w:rsid w:val="00277618"/>
    <w:rsid w:val="0028056A"/>
    <w:rsid w:val="002852EE"/>
    <w:rsid w:val="00286D6A"/>
    <w:rsid w:val="0029179F"/>
    <w:rsid w:val="00292326"/>
    <w:rsid w:val="00295361"/>
    <w:rsid w:val="00296348"/>
    <w:rsid w:val="00297E1A"/>
    <w:rsid w:val="002A402F"/>
    <w:rsid w:val="002B186B"/>
    <w:rsid w:val="002B38F6"/>
    <w:rsid w:val="002B61DD"/>
    <w:rsid w:val="002B7076"/>
    <w:rsid w:val="002C2028"/>
    <w:rsid w:val="002C229B"/>
    <w:rsid w:val="002C27D4"/>
    <w:rsid w:val="002C3134"/>
    <w:rsid w:val="002C6AEB"/>
    <w:rsid w:val="002C722D"/>
    <w:rsid w:val="002D04D0"/>
    <w:rsid w:val="002D30EE"/>
    <w:rsid w:val="002D76B2"/>
    <w:rsid w:val="002D7905"/>
    <w:rsid w:val="002D7B20"/>
    <w:rsid w:val="002E1476"/>
    <w:rsid w:val="002E3299"/>
    <w:rsid w:val="002E4985"/>
    <w:rsid w:val="002E64CC"/>
    <w:rsid w:val="002F04E4"/>
    <w:rsid w:val="002F1A53"/>
    <w:rsid w:val="002F3568"/>
    <w:rsid w:val="002F7AB9"/>
    <w:rsid w:val="0030157A"/>
    <w:rsid w:val="00302995"/>
    <w:rsid w:val="00303D3D"/>
    <w:rsid w:val="00314B46"/>
    <w:rsid w:val="0031712B"/>
    <w:rsid w:val="0032092A"/>
    <w:rsid w:val="00321528"/>
    <w:rsid w:val="00321717"/>
    <w:rsid w:val="00321D5F"/>
    <w:rsid w:val="003238C0"/>
    <w:rsid w:val="00330E7E"/>
    <w:rsid w:val="00330EF0"/>
    <w:rsid w:val="00333C15"/>
    <w:rsid w:val="00340679"/>
    <w:rsid w:val="00342D9D"/>
    <w:rsid w:val="00342E7E"/>
    <w:rsid w:val="003440CB"/>
    <w:rsid w:val="003504A0"/>
    <w:rsid w:val="00352A1D"/>
    <w:rsid w:val="00353816"/>
    <w:rsid w:val="00361CCF"/>
    <w:rsid w:val="00364A0C"/>
    <w:rsid w:val="003738EA"/>
    <w:rsid w:val="00375491"/>
    <w:rsid w:val="00376E91"/>
    <w:rsid w:val="003822A8"/>
    <w:rsid w:val="00383DCC"/>
    <w:rsid w:val="00386A4E"/>
    <w:rsid w:val="00386C51"/>
    <w:rsid w:val="00387362"/>
    <w:rsid w:val="00390C9A"/>
    <w:rsid w:val="00390FCA"/>
    <w:rsid w:val="00391D13"/>
    <w:rsid w:val="00392494"/>
    <w:rsid w:val="00394A95"/>
    <w:rsid w:val="00396306"/>
    <w:rsid w:val="00397742"/>
    <w:rsid w:val="00397891"/>
    <w:rsid w:val="003A6BB9"/>
    <w:rsid w:val="003B4151"/>
    <w:rsid w:val="003B669C"/>
    <w:rsid w:val="003B786E"/>
    <w:rsid w:val="003C6EF7"/>
    <w:rsid w:val="003D092D"/>
    <w:rsid w:val="003D0F7B"/>
    <w:rsid w:val="003D0FE9"/>
    <w:rsid w:val="003D12FB"/>
    <w:rsid w:val="003D2BCE"/>
    <w:rsid w:val="003D4037"/>
    <w:rsid w:val="003D4529"/>
    <w:rsid w:val="003D4B46"/>
    <w:rsid w:val="003D5F48"/>
    <w:rsid w:val="003E01B3"/>
    <w:rsid w:val="003E3199"/>
    <w:rsid w:val="003E7DA0"/>
    <w:rsid w:val="003F050A"/>
    <w:rsid w:val="003F059B"/>
    <w:rsid w:val="003F50D1"/>
    <w:rsid w:val="003F5F88"/>
    <w:rsid w:val="0041273F"/>
    <w:rsid w:val="0042204E"/>
    <w:rsid w:val="00426325"/>
    <w:rsid w:val="00437A33"/>
    <w:rsid w:val="004469A3"/>
    <w:rsid w:val="0045270B"/>
    <w:rsid w:val="00454C45"/>
    <w:rsid w:val="004624BE"/>
    <w:rsid w:val="00463DED"/>
    <w:rsid w:val="00465A92"/>
    <w:rsid w:val="00465B50"/>
    <w:rsid w:val="004679CE"/>
    <w:rsid w:val="00470270"/>
    <w:rsid w:val="00471CBF"/>
    <w:rsid w:val="00472046"/>
    <w:rsid w:val="00475E73"/>
    <w:rsid w:val="0048136E"/>
    <w:rsid w:val="00481C76"/>
    <w:rsid w:val="00485AD1"/>
    <w:rsid w:val="00486AA5"/>
    <w:rsid w:val="004878DF"/>
    <w:rsid w:val="004932B6"/>
    <w:rsid w:val="004946E0"/>
    <w:rsid w:val="00495E6D"/>
    <w:rsid w:val="00496259"/>
    <w:rsid w:val="004A1602"/>
    <w:rsid w:val="004A51A8"/>
    <w:rsid w:val="004B49EE"/>
    <w:rsid w:val="004B4D89"/>
    <w:rsid w:val="004B516E"/>
    <w:rsid w:val="004C0E26"/>
    <w:rsid w:val="004C343D"/>
    <w:rsid w:val="004C5277"/>
    <w:rsid w:val="004C6632"/>
    <w:rsid w:val="004D2423"/>
    <w:rsid w:val="004D3884"/>
    <w:rsid w:val="004D5BBA"/>
    <w:rsid w:val="004E0748"/>
    <w:rsid w:val="004E728E"/>
    <w:rsid w:val="004F0AAB"/>
    <w:rsid w:val="004F23F6"/>
    <w:rsid w:val="004F47B7"/>
    <w:rsid w:val="004F743F"/>
    <w:rsid w:val="004F7C1B"/>
    <w:rsid w:val="00500A8F"/>
    <w:rsid w:val="005043E9"/>
    <w:rsid w:val="00505181"/>
    <w:rsid w:val="005060F9"/>
    <w:rsid w:val="005109DD"/>
    <w:rsid w:val="0051106C"/>
    <w:rsid w:val="00512BAE"/>
    <w:rsid w:val="00513DCA"/>
    <w:rsid w:val="00520C0E"/>
    <w:rsid w:val="00522EAE"/>
    <w:rsid w:val="00524D97"/>
    <w:rsid w:val="005250F2"/>
    <w:rsid w:val="00525703"/>
    <w:rsid w:val="005260BE"/>
    <w:rsid w:val="00527573"/>
    <w:rsid w:val="005326B5"/>
    <w:rsid w:val="005339BB"/>
    <w:rsid w:val="00535F08"/>
    <w:rsid w:val="00536F45"/>
    <w:rsid w:val="00537EE6"/>
    <w:rsid w:val="005447E3"/>
    <w:rsid w:val="00547E75"/>
    <w:rsid w:val="00555016"/>
    <w:rsid w:val="00555A60"/>
    <w:rsid w:val="00556212"/>
    <w:rsid w:val="005606AC"/>
    <w:rsid w:val="005669D8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6D1A"/>
    <w:rsid w:val="005A23E3"/>
    <w:rsid w:val="005A31F5"/>
    <w:rsid w:val="005A39D7"/>
    <w:rsid w:val="005A65C8"/>
    <w:rsid w:val="005B5D60"/>
    <w:rsid w:val="005B69C2"/>
    <w:rsid w:val="005C27A1"/>
    <w:rsid w:val="005C67D4"/>
    <w:rsid w:val="005C7CC0"/>
    <w:rsid w:val="005D0683"/>
    <w:rsid w:val="005D6F09"/>
    <w:rsid w:val="005E00D6"/>
    <w:rsid w:val="005E035C"/>
    <w:rsid w:val="005E1A23"/>
    <w:rsid w:val="005E525F"/>
    <w:rsid w:val="005E5A41"/>
    <w:rsid w:val="005E674A"/>
    <w:rsid w:val="005E6E17"/>
    <w:rsid w:val="005F6112"/>
    <w:rsid w:val="00602232"/>
    <w:rsid w:val="00602E62"/>
    <w:rsid w:val="00606AA2"/>
    <w:rsid w:val="00606C4F"/>
    <w:rsid w:val="006107DC"/>
    <w:rsid w:val="0061228A"/>
    <w:rsid w:val="00617A76"/>
    <w:rsid w:val="00620296"/>
    <w:rsid w:val="00621ED0"/>
    <w:rsid w:val="00622238"/>
    <w:rsid w:val="00624BB2"/>
    <w:rsid w:val="006316FD"/>
    <w:rsid w:val="00632329"/>
    <w:rsid w:val="006361BC"/>
    <w:rsid w:val="00636A3C"/>
    <w:rsid w:val="00637AD1"/>
    <w:rsid w:val="00641CF4"/>
    <w:rsid w:val="00642CD5"/>
    <w:rsid w:val="006452B3"/>
    <w:rsid w:val="00645792"/>
    <w:rsid w:val="0066295A"/>
    <w:rsid w:val="00663035"/>
    <w:rsid w:val="00664055"/>
    <w:rsid w:val="00666CF9"/>
    <w:rsid w:val="00667457"/>
    <w:rsid w:val="00667A61"/>
    <w:rsid w:val="00670ED6"/>
    <w:rsid w:val="00673E32"/>
    <w:rsid w:val="006740B4"/>
    <w:rsid w:val="00674734"/>
    <w:rsid w:val="0067541F"/>
    <w:rsid w:val="006858D5"/>
    <w:rsid w:val="00687DBB"/>
    <w:rsid w:val="00696B1C"/>
    <w:rsid w:val="0069732D"/>
    <w:rsid w:val="006A2B5F"/>
    <w:rsid w:val="006A32C4"/>
    <w:rsid w:val="006A72B8"/>
    <w:rsid w:val="006B576E"/>
    <w:rsid w:val="006C1F05"/>
    <w:rsid w:val="006C2070"/>
    <w:rsid w:val="006D2A5B"/>
    <w:rsid w:val="006D5B15"/>
    <w:rsid w:val="006D5C62"/>
    <w:rsid w:val="006D642C"/>
    <w:rsid w:val="006D7698"/>
    <w:rsid w:val="006E3A9C"/>
    <w:rsid w:val="006F038D"/>
    <w:rsid w:val="006F75B2"/>
    <w:rsid w:val="00700EA9"/>
    <w:rsid w:val="0070255A"/>
    <w:rsid w:val="00702B6E"/>
    <w:rsid w:val="00705BEF"/>
    <w:rsid w:val="00706179"/>
    <w:rsid w:val="007113DD"/>
    <w:rsid w:val="0071430B"/>
    <w:rsid w:val="00720659"/>
    <w:rsid w:val="0072201D"/>
    <w:rsid w:val="00725BDB"/>
    <w:rsid w:val="00733292"/>
    <w:rsid w:val="0073607E"/>
    <w:rsid w:val="00736663"/>
    <w:rsid w:val="007368D2"/>
    <w:rsid w:val="007423FD"/>
    <w:rsid w:val="0074285A"/>
    <w:rsid w:val="00756E5C"/>
    <w:rsid w:val="00757990"/>
    <w:rsid w:val="00760C7A"/>
    <w:rsid w:val="007619AD"/>
    <w:rsid w:val="00762330"/>
    <w:rsid w:val="007640E0"/>
    <w:rsid w:val="007652B1"/>
    <w:rsid w:val="00770616"/>
    <w:rsid w:val="00770E19"/>
    <w:rsid w:val="00772E22"/>
    <w:rsid w:val="0077332B"/>
    <w:rsid w:val="00774257"/>
    <w:rsid w:val="007753C1"/>
    <w:rsid w:val="00775505"/>
    <w:rsid w:val="00776AE1"/>
    <w:rsid w:val="00785C31"/>
    <w:rsid w:val="00793276"/>
    <w:rsid w:val="007A01B4"/>
    <w:rsid w:val="007A03BE"/>
    <w:rsid w:val="007A07E5"/>
    <w:rsid w:val="007A136C"/>
    <w:rsid w:val="007A385D"/>
    <w:rsid w:val="007A3E79"/>
    <w:rsid w:val="007A463F"/>
    <w:rsid w:val="007A7362"/>
    <w:rsid w:val="007B0667"/>
    <w:rsid w:val="007B5A17"/>
    <w:rsid w:val="007B648A"/>
    <w:rsid w:val="007B7729"/>
    <w:rsid w:val="007C2153"/>
    <w:rsid w:val="007C66DE"/>
    <w:rsid w:val="007D0768"/>
    <w:rsid w:val="007D224F"/>
    <w:rsid w:val="007D5499"/>
    <w:rsid w:val="007D62F3"/>
    <w:rsid w:val="007E0C8A"/>
    <w:rsid w:val="007E0E50"/>
    <w:rsid w:val="007E186D"/>
    <w:rsid w:val="007E3816"/>
    <w:rsid w:val="007E513A"/>
    <w:rsid w:val="007F5700"/>
    <w:rsid w:val="007F79E2"/>
    <w:rsid w:val="00802548"/>
    <w:rsid w:val="00802957"/>
    <w:rsid w:val="00802B47"/>
    <w:rsid w:val="008062A9"/>
    <w:rsid w:val="00814AA6"/>
    <w:rsid w:val="008153A8"/>
    <w:rsid w:val="008267EE"/>
    <w:rsid w:val="0083050D"/>
    <w:rsid w:val="00832E9B"/>
    <w:rsid w:val="00833AB0"/>
    <w:rsid w:val="00834717"/>
    <w:rsid w:val="0084273E"/>
    <w:rsid w:val="008432ED"/>
    <w:rsid w:val="00843F7D"/>
    <w:rsid w:val="008450F3"/>
    <w:rsid w:val="00855260"/>
    <w:rsid w:val="00860271"/>
    <w:rsid w:val="0086227D"/>
    <w:rsid w:val="00863FEE"/>
    <w:rsid w:val="008653E0"/>
    <w:rsid w:val="008730BB"/>
    <w:rsid w:val="00880B5C"/>
    <w:rsid w:val="00881B05"/>
    <w:rsid w:val="00881CA9"/>
    <w:rsid w:val="00883821"/>
    <w:rsid w:val="0088500C"/>
    <w:rsid w:val="0088679A"/>
    <w:rsid w:val="0089014A"/>
    <w:rsid w:val="008902CF"/>
    <w:rsid w:val="008966E9"/>
    <w:rsid w:val="008B188A"/>
    <w:rsid w:val="008B4A3B"/>
    <w:rsid w:val="008B56E5"/>
    <w:rsid w:val="008B6065"/>
    <w:rsid w:val="008C1F77"/>
    <w:rsid w:val="008D1223"/>
    <w:rsid w:val="008D170A"/>
    <w:rsid w:val="008D3CFE"/>
    <w:rsid w:val="008D5E6C"/>
    <w:rsid w:val="008D7F16"/>
    <w:rsid w:val="008E08E2"/>
    <w:rsid w:val="008E160B"/>
    <w:rsid w:val="008E4534"/>
    <w:rsid w:val="008E54DB"/>
    <w:rsid w:val="008E7ACE"/>
    <w:rsid w:val="008F1045"/>
    <w:rsid w:val="009018E4"/>
    <w:rsid w:val="00903BED"/>
    <w:rsid w:val="00905613"/>
    <w:rsid w:val="00905BF1"/>
    <w:rsid w:val="009111B0"/>
    <w:rsid w:val="00913572"/>
    <w:rsid w:val="00915EF9"/>
    <w:rsid w:val="009171E7"/>
    <w:rsid w:val="00917662"/>
    <w:rsid w:val="00917A3B"/>
    <w:rsid w:val="0092087F"/>
    <w:rsid w:val="0092377F"/>
    <w:rsid w:val="009308D8"/>
    <w:rsid w:val="00930DF7"/>
    <w:rsid w:val="00936821"/>
    <w:rsid w:val="00936E5D"/>
    <w:rsid w:val="0094276A"/>
    <w:rsid w:val="00942C75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B70"/>
    <w:rsid w:val="00983752"/>
    <w:rsid w:val="00983EF6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B0D73"/>
    <w:rsid w:val="009B3167"/>
    <w:rsid w:val="009B34FA"/>
    <w:rsid w:val="009C020C"/>
    <w:rsid w:val="009C44ED"/>
    <w:rsid w:val="009C4A58"/>
    <w:rsid w:val="009C5070"/>
    <w:rsid w:val="009C5700"/>
    <w:rsid w:val="009C5D67"/>
    <w:rsid w:val="009C5FEE"/>
    <w:rsid w:val="009C6763"/>
    <w:rsid w:val="009C698C"/>
    <w:rsid w:val="009C7A2D"/>
    <w:rsid w:val="009C7CE4"/>
    <w:rsid w:val="009D72F9"/>
    <w:rsid w:val="009E18AF"/>
    <w:rsid w:val="009E4A3B"/>
    <w:rsid w:val="009E5D88"/>
    <w:rsid w:val="009F0653"/>
    <w:rsid w:val="009F09C7"/>
    <w:rsid w:val="009F29A2"/>
    <w:rsid w:val="009F7FCB"/>
    <w:rsid w:val="00A00B17"/>
    <w:rsid w:val="00A01568"/>
    <w:rsid w:val="00A057AC"/>
    <w:rsid w:val="00A1042E"/>
    <w:rsid w:val="00A16D24"/>
    <w:rsid w:val="00A16E97"/>
    <w:rsid w:val="00A1794D"/>
    <w:rsid w:val="00A207E1"/>
    <w:rsid w:val="00A220C6"/>
    <w:rsid w:val="00A2358C"/>
    <w:rsid w:val="00A2663A"/>
    <w:rsid w:val="00A31C85"/>
    <w:rsid w:val="00A32C2E"/>
    <w:rsid w:val="00A33A9E"/>
    <w:rsid w:val="00A42A30"/>
    <w:rsid w:val="00A44B61"/>
    <w:rsid w:val="00A45DC2"/>
    <w:rsid w:val="00A5260B"/>
    <w:rsid w:val="00A61F62"/>
    <w:rsid w:val="00A623DF"/>
    <w:rsid w:val="00A669CF"/>
    <w:rsid w:val="00A67B5E"/>
    <w:rsid w:val="00A72E16"/>
    <w:rsid w:val="00A730D0"/>
    <w:rsid w:val="00A76003"/>
    <w:rsid w:val="00A76D78"/>
    <w:rsid w:val="00A83140"/>
    <w:rsid w:val="00A843DA"/>
    <w:rsid w:val="00A84830"/>
    <w:rsid w:val="00A96197"/>
    <w:rsid w:val="00AA2334"/>
    <w:rsid w:val="00AA4DC4"/>
    <w:rsid w:val="00AB05C6"/>
    <w:rsid w:val="00AB3244"/>
    <w:rsid w:val="00AB66D7"/>
    <w:rsid w:val="00AB694F"/>
    <w:rsid w:val="00AC32C6"/>
    <w:rsid w:val="00AD7BA1"/>
    <w:rsid w:val="00AE224E"/>
    <w:rsid w:val="00AF1933"/>
    <w:rsid w:val="00AF50E3"/>
    <w:rsid w:val="00AF5247"/>
    <w:rsid w:val="00AF6D2A"/>
    <w:rsid w:val="00AF78C6"/>
    <w:rsid w:val="00AF7CB4"/>
    <w:rsid w:val="00B00961"/>
    <w:rsid w:val="00B01ADE"/>
    <w:rsid w:val="00B06BA6"/>
    <w:rsid w:val="00B12237"/>
    <w:rsid w:val="00B12F3C"/>
    <w:rsid w:val="00B133E0"/>
    <w:rsid w:val="00B22EB0"/>
    <w:rsid w:val="00B24FF7"/>
    <w:rsid w:val="00B2543C"/>
    <w:rsid w:val="00B26192"/>
    <w:rsid w:val="00B262CD"/>
    <w:rsid w:val="00B316D1"/>
    <w:rsid w:val="00B33C5E"/>
    <w:rsid w:val="00B40A66"/>
    <w:rsid w:val="00B41090"/>
    <w:rsid w:val="00B50CF4"/>
    <w:rsid w:val="00B57B39"/>
    <w:rsid w:val="00B60E9C"/>
    <w:rsid w:val="00B6632A"/>
    <w:rsid w:val="00B67C18"/>
    <w:rsid w:val="00B74F9C"/>
    <w:rsid w:val="00B769E3"/>
    <w:rsid w:val="00B801E0"/>
    <w:rsid w:val="00B80489"/>
    <w:rsid w:val="00B807FD"/>
    <w:rsid w:val="00B83422"/>
    <w:rsid w:val="00B841C1"/>
    <w:rsid w:val="00B8765A"/>
    <w:rsid w:val="00B87D41"/>
    <w:rsid w:val="00B955B3"/>
    <w:rsid w:val="00BA15F6"/>
    <w:rsid w:val="00BA63ED"/>
    <w:rsid w:val="00BA7431"/>
    <w:rsid w:val="00BB0CAA"/>
    <w:rsid w:val="00BB11A8"/>
    <w:rsid w:val="00BB2026"/>
    <w:rsid w:val="00BB3784"/>
    <w:rsid w:val="00BC1BD9"/>
    <w:rsid w:val="00BC3B43"/>
    <w:rsid w:val="00BC52DF"/>
    <w:rsid w:val="00BC5535"/>
    <w:rsid w:val="00BD0BB7"/>
    <w:rsid w:val="00BD1289"/>
    <w:rsid w:val="00BD6A1A"/>
    <w:rsid w:val="00BE02A7"/>
    <w:rsid w:val="00BE2788"/>
    <w:rsid w:val="00BE67A2"/>
    <w:rsid w:val="00BE6F4C"/>
    <w:rsid w:val="00BE7E70"/>
    <w:rsid w:val="00BF460C"/>
    <w:rsid w:val="00BF5F9C"/>
    <w:rsid w:val="00C02F99"/>
    <w:rsid w:val="00C03770"/>
    <w:rsid w:val="00C05D8E"/>
    <w:rsid w:val="00C06B20"/>
    <w:rsid w:val="00C06CBE"/>
    <w:rsid w:val="00C123C3"/>
    <w:rsid w:val="00C126DF"/>
    <w:rsid w:val="00C15DBB"/>
    <w:rsid w:val="00C31E3B"/>
    <w:rsid w:val="00C369C9"/>
    <w:rsid w:val="00C444EA"/>
    <w:rsid w:val="00C50DF8"/>
    <w:rsid w:val="00C5114A"/>
    <w:rsid w:val="00C55BB5"/>
    <w:rsid w:val="00C6019E"/>
    <w:rsid w:val="00C64953"/>
    <w:rsid w:val="00C65B28"/>
    <w:rsid w:val="00C745E3"/>
    <w:rsid w:val="00C75C2E"/>
    <w:rsid w:val="00C766EF"/>
    <w:rsid w:val="00C773FC"/>
    <w:rsid w:val="00C807AA"/>
    <w:rsid w:val="00C80EE6"/>
    <w:rsid w:val="00C817A7"/>
    <w:rsid w:val="00C861B2"/>
    <w:rsid w:val="00C86975"/>
    <w:rsid w:val="00C92958"/>
    <w:rsid w:val="00CA2A8B"/>
    <w:rsid w:val="00CA65E9"/>
    <w:rsid w:val="00CB4339"/>
    <w:rsid w:val="00CB49F9"/>
    <w:rsid w:val="00CB6A55"/>
    <w:rsid w:val="00CC06D4"/>
    <w:rsid w:val="00CC06FA"/>
    <w:rsid w:val="00CC1890"/>
    <w:rsid w:val="00CC33CC"/>
    <w:rsid w:val="00CC480B"/>
    <w:rsid w:val="00CC72C5"/>
    <w:rsid w:val="00CC7310"/>
    <w:rsid w:val="00CC749E"/>
    <w:rsid w:val="00CD332E"/>
    <w:rsid w:val="00CD41C2"/>
    <w:rsid w:val="00CD521B"/>
    <w:rsid w:val="00CE06FC"/>
    <w:rsid w:val="00CE4335"/>
    <w:rsid w:val="00CE665F"/>
    <w:rsid w:val="00CF197E"/>
    <w:rsid w:val="00CF5040"/>
    <w:rsid w:val="00D03331"/>
    <w:rsid w:val="00D073EA"/>
    <w:rsid w:val="00D07CF0"/>
    <w:rsid w:val="00D12776"/>
    <w:rsid w:val="00D12D35"/>
    <w:rsid w:val="00D2092D"/>
    <w:rsid w:val="00D31AFE"/>
    <w:rsid w:val="00D332D6"/>
    <w:rsid w:val="00D346FC"/>
    <w:rsid w:val="00D35444"/>
    <w:rsid w:val="00D3691D"/>
    <w:rsid w:val="00D371C4"/>
    <w:rsid w:val="00D41ADE"/>
    <w:rsid w:val="00D471D1"/>
    <w:rsid w:val="00D50E81"/>
    <w:rsid w:val="00D56A55"/>
    <w:rsid w:val="00D60EC2"/>
    <w:rsid w:val="00D634D8"/>
    <w:rsid w:val="00D63C2D"/>
    <w:rsid w:val="00D651FF"/>
    <w:rsid w:val="00D65A32"/>
    <w:rsid w:val="00D71DEB"/>
    <w:rsid w:val="00D73882"/>
    <w:rsid w:val="00D80609"/>
    <w:rsid w:val="00D82BB6"/>
    <w:rsid w:val="00D96CBF"/>
    <w:rsid w:val="00DA100A"/>
    <w:rsid w:val="00DA2084"/>
    <w:rsid w:val="00DA25AD"/>
    <w:rsid w:val="00DA4F61"/>
    <w:rsid w:val="00DA73E5"/>
    <w:rsid w:val="00DB0090"/>
    <w:rsid w:val="00DB1679"/>
    <w:rsid w:val="00DB5927"/>
    <w:rsid w:val="00DC2F1C"/>
    <w:rsid w:val="00DC2F84"/>
    <w:rsid w:val="00DC44EE"/>
    <w:rsid w:val="00DC4BA2"/>
    <w:rsid w:val="00DD4C8D"/>
    <w:rsid w:val="00DD7FB4"/>
    <w:rsid w:val="00DE477C"/>
    <w:rsid w:val="00DE7CB6"/>
    <w:rsid w:val="00DF1C7E"/>
    <w:rsid w:val="00DF269B"/>
    <w:rsid w:val="00DF4AB0"/>
    <w:rsid w:val="00DF66EE"/>
    <w:rsid w:val="00DF6776"/>
    <w:rsid w:val="00DF6B22"/>
    <w:rsid w:val="00E00245"/>
    <w:rsid w:val="00E00371"/>
    <w:rsid w:val="00E04ABA"/>
    <w:rsid w:val="00E07A31"/>
    <w:rsid w:val="00E12E0A"/>
    <w:rsid w:val="00E166BE"/>
    <w:rsid w:val="00E17346"/>
    <w:rsid w:val="00E21BE2"/>
    <w:rsid w:val="00E22994"/>
    <w:rsid w:val="00E23047"/>
    <w:rsid w:val="00E23270"/>
    <w:rsid w:val="00E24EE3"/>
    <w:rsid w:val="00E309FD"/>
    <w:rsid w:val="00E403D4"/>
    <w:rsid w:val="00E40561"/>
    <w:rsid w:val="00E414F9"/>
    <w:rsid w:val="00E50150"/>
    <w:rsid w:val="00E5049F"/>
    <w:rsid w:val="00E504D8"/>
    <w:rsid w:val="00E61308"/>
    <w:rsid w:val="00E61E70"/>
    <w:rsid w:val="00E64653"/>
    <w:rsid w:val="00E64D3E"/>
    <w:rsid w:val="00E67E38"/>
    <w:rsid w:val="00E76995"/>
    <w:rsid w:val="00E80E43"/>
    <w:rsid w:val="00E8311C"/>
    <w:rsid w:val="00E879A7"/>
    <w:rsid w:val="00E87A04"/>
    <w:rsid w:val="00E922B4"/>
    <w:rsid w:val="00E94534"/>
    <w:rsid w:val="00E97970"/>
    <w:rsid w:val="00EA4003"/>
    <w:rsid w:val="00EB0151"/>
    <w:rsid w:val="00EB2B49"/>
    <w:rsid w:val="00EB5B3E"/>
    <w:rsid w:val="00EB7ED2"/>
    <w:rsid w:val="00EC43C8"/>
    <w:rsid w:val="00ED1806"/>
    <w:rsid w:val="00ED205C"/>
    <w:rsid w:val="00ED36BD"/>
    <w:rsid w:val="00ED3F02"/>
    <w:rsid w:val="00ED457C"/>
    <w:rsid w:val="00EE0709"/>
    <w:rsid w:val="00EE0B92"/>
    <w:rsid w:val="00EE0F0E"/>
    <w:rsid w:val="00EE2860"/>
    <w:rsid w:val="00EE68D2"/>
    <w:rsid w:val="00EF14B7"/>
    <w:rsid w:val="00EF2B24"/>
    <w:rsid w:val="00EF44AD"/>
    <w:rsid w:val="00F014F8"/>
    <w:rsid w:val="00F13937"/>
    <w:rsid w:val="00F17267"/>
    <w:rsid w:val="00F22886"/>
    <w:rsid w:val="00F27587"/>
    <w:rsid w:val="00F307F9"/>
    <w:rsid w:val="00F3131F"/>
    <w:rsid w:val="00F32538"/>
    <w:rsid w:val="00F32FBC"/>
    <w:rsid w:val="00F34A00"/>
    <w:rsid w:val="00F34D93"/>
    <w:rsid w:val="00F4389F"/>
    <w:rsid w:val="00F62AEB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8A2"/>
    <w:rsid w:val="00F87AC6"/>
    <w:rsid w:val="00F9085A"/>
    <w:rsid w:val="00F91B05"/>
    <w:rsid w:val="00F94E53"/>
    <w:rsid w:val="00F979AC"/>
    <w:rsid w:val="00FA38C3"/>
    <w:rsid w:val="00FA6353"/>
    <w:rsid w:val="00FB32DE"/>
    <w:rsid w:val="00FB3ADA"/>
    <w:rsid w:val="00FB7A50"/>
    <w:rsid w:val="00FC0DF5"/>
    <w:rsid w:val="00FC290F"/>
    <w:rsid w:val="00FC44B5"/>
    <w:rsid w:val="00FC6127"/>
    <w:rsid w:val="00FC7A4D"/>
    <w:rsid w:val="00FD08A0"/>
    <w:rsid w:val="00FD1F63"/>
    <w:rsid w:val="00FD2E42"/>
    <w:rsid w:val="00FD4AA6"/>
    <w:rsid w:val="00FE2B9E"/>
    <w:rsid w:val="00FE6123"/>
    <w:rsid w:val="00FE6555"/>
    <w:rsid w:val="00FE6E03"/>
    <w:rsid w:val="00FF51E1"/>
    <w:rsid w:val="00FF5862"/>
    <w:rsid w:val="13B51463"/>
    <w:rsid w:val="30060F0D"/>
    <w:rsid w:val="7FDE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1"/>
    <w:uiPriority w:val="0"/>
    <w:rPr>
      <w:b/>
      <w:bCs/>
    </w:r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uiPriority w:val="0"/>
    <w:rPr>
      <w:color w:val="0068B7"/>
      <w:u w:val="non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character" w:customStyle="1" w:styleId="16">
    <w:name w:val="141"/>
    <w:qFormat/>
    <w:uiPriority w:val="0"/>
    <w:rPr>
      <w:sz w:val="21"/>
      <w:szCs w:val="21"/>
    </w:rPr>
  </w:style>
  <w:style w:type="character" w:customStyle="1" w:styleId="17">
    <w:name w:val="ztag pre"/>
    <w:basedOn w:val="12"/>
    <w:qFormat/>
    <w:uiPriority w:val="0"/>
  </w:style>
  <w:style w:type="character" w:customStyle="1" w:styleId="18">
    <w:name w:val="已访问的超链接1"/>
    <w:uiPriority w:val="0"/>
    <w:rPr>
      <w:color w:val="800080"/>
      <w:u w:val="single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字符"/>
    <w:basedOn w:val="12"/>
    <w:link w:val="3"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9"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C21244-0FE9-4601-ACED-374952EF55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464</Words>
  <Characters>2645</Characters>
  <Lines>22</Lines>
  <Paragraphs>6</Paragraphs>
  <TotalTime>0</TotalTime>
  <ScaleCrop>false</ScaleCrop>
  <LinksUpToDate>false</LinksUpToDate>
  <CharactersWithSpaces>3103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2019-12-16T02:50:00Z</dcterms:created>
  <dc:creator>全美国际教育协会</dc:creator>
  <cp:lastModifiedBy>Julia</cp:lastModifiedBy>
  <cp:lastPrinted>2011-12-16T08:54:00Z</cp:lastPrinted>
  <dcterms:modified xsi:type="dcterms:W3CDTF">2019-12-27T03:00:28Z</dcterms:modified>
  <dc:title>加州大学河滨分校短期访学项目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