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 xml:space="preserve">加拿大多伦多大学 </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2020暑期</w:t>
      </w:r>
      <w:r>
        <w:rPr>
          <w:rFonts w:asciiTheme="minorHAnsi" w:hAnsiTheme="minorHAnsi" w:eastAsiaTheme="majorEastAsia" w:cstheme="minorHAnsi"/>
          <w:b/>
          <w:kern w:val="0"/>
          <w:sz w:val="32"/>
          <w:szCs w:val="21"/>
        </w:rPr>
        <w:t>访学项目</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英语语言项目</w:t>
      </w:r>
    </w:p>
    <w:p>
      <w:pPr>
        <w:widowControl/>
        <w:spacing w:line="360" w:lineRule="auto"/>
        <w:jc w:val="center"/>
        <w:rPr>
          <w:rFonts w:asciiTheme="minorHAnsi" w:hAnsiTheme="minorHAnsi" w:eastAsiaTheme="majorEastAsia" w:cstheme="minorHAnsi"/>
          <w:kern w:val="0"/>
          <w:sz w:val="28"/>
          <w:szCs w:val="28"/>
        </w:rPr>
      </w:pPr>
      <w:r>
        <w:rPr>
          <w:rFonts w:asciiTheme="minorHAnsi" w:hAnsiTheme="minorHAnsi" w:eastAsiaTheme="majorEastAsia" w:cstheme="minorHAnsi"/>
          <w:kern w:val="0"/>
          <w:sz w:val="28"/>
          <w:szCs w:val="28"/>
        </w:rPr>
        <w:t>University of Toronto</w:t>
      </w:r>
    </w:p>
    <w:p>
      <w:pPr>
        <w:widowControl/>
        <w:spacing w:line="360" w:lineRule="auto"/>
        <w:jc w:val="center"/>
        <w:rPr>
          <w:rFonts w:asciiTheme="minorHAnsi" w:hAnsiTheme="minorHAnsi" w:eastAsiaTheme="majorEastAsia" w:cstheme="minorHAnsi"/>
          <w:b/>
          <w:kern w:val="0"/>
          <w:sz w:val="30"/>
          <w:szCs w:val="30"/>
        </w:rPr>
      </w:pPr>
      <w:r>
        <w:rPr>
          <w:rFonts w:asciiTheme="minorHAnsi" w:hAnsiTheme="minorHAnsi" w:eastAsiaTheme="majorEastAsia" w:cstheme="minorHAnsi"/>
          <w:b/>
          <w:kern w:val="0"/>
          <w:sz w:val="30"/>
          <w:szCs w:val="30"/>
        </w:rPr>
        <w:t>English Language Program</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2020年7月6日–7月31日，8月4日–8月28日</w:t>
      </w:r>
    </w:p>
    <w:p>
      <w:pPr>
        <w:widowControl/>
        <w:spacing w:line="360" w:lineRule="auto"/>
        <w:rPr>
          <w:rFonts w:cs="Calibri" w:asciiTheme="minorHAnsi" w:hAnsiTheme="minorHAnsi"/>
          <w:b/>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2"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b/>
          <w:kern w:val="0"/>
          <w:szCs w:val="21"/>
        </w:rPr>
        <w:t>多伦多大学英语语言项目</w:t>
      </w:r>
      <w:r>
        <w:rPr>
          <w:rFonts w:hint="eastAsia" w:asciiTheme="minorHAnsi" w:hAnsiTheme="minorHAnsi" w:eastAsiaTheme="majorEastAsia" w:cstheme="minorHAnsi"/>
          <w:kern w:val="0"/>
          <w:szCs w:val="21"/>
        </w:rPr>
        <w:t>（English Language Program）隶属于多伦多大学的继续教育学院(School of Continuing Studies)。学院迄今拥有近50年的丰富教学经验，每年为来自35个国家的上千名学生提供各类优质的英语学习项目，形成了实用科学的教学方法。此外，多伦多作为全球最多元化和宜居的城市之一，也为学生提供了无与伦比的语言学习环境。</w:t>
      </w:r>
    </w:p>
    <w:p>
      <w:pPr>
        <w:widowControl/>
        <w:spacing w:line="360" w:lineRule="auto"/>
        <w:ind w:left="510"/>
        <w:jc w:val="left"/>
        <w:rPr>
          <w:rFonts w:cs="Arial" w:asciiTheme="minorHAnsi" w:hAnsiTheme="minorHAnsi"/>
          <w:color w:val="333333"/>
          <w:kern w:val="0"/>
          <w:szCs w:val="21"/>
        </w:rPr>
      </w:pP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全美国际教育协会作为多伦多大学英语语言学院在中国的正式授权机构，负责选拔优秀中国大学生，于2020年暑期前往多伦多大学参加为期4周的访问学习。参加项目的</w:t>
      </w:r>
      <w:r>
        <w:rPr>
          <w:rFonts w:asciiTheme="minorHAnsi" w:hAnsiTheme="minorHAnsi" w:eastAsiaTheme="majorEastAsia" w:cstheme="minorHAnsi"/>
          <w:kern w:val="0"/>
          <w:szCs w:val="21"/>
        </w:rPr>
        <w:t>学生</w:t>
      </w:r>
      <w:r>
        <w:rPr>
          <w:rFonts w:asciiTheme="minorHAnsi" w:hAnsiTheme="minorHAnsi" w:eastAsiaTheme="majorEastAsia" w:cstheme="minorHAnsi"/>
          <w:szCs w:val="21"/>
        </w:rPr>
        <w:t>可选报</w:t>
      </w:r>
      <w:r>
        <w:rPr>
          <w:rFonts w:hint="eastAsia" w:asciiTheme="minorHAnsi" w:hAnsiTheme="minorHAnsi" w:eastAsiaTheme="majorEastAsia" w:cstheme="minorHAnsi"/>
          <w:szCs w:val="21"/>
        </w:rPr>
        <w:t>语言</w:t>
      </w:r>
      <w:r>
        <w:rPr>
          <w:rFonts w:asciiTheme="minorHAnsi" w:hAnsiTheme="minorHAnsi" w:eastAsiaTheme="majorEastAsia" w:cstheme="minorHAnsi"/>
          <w:szCs w:val="21"/>
        </w:rPr>
        <w:t>文化课程</w:t>
      </w:r>
      <w:r>
        <w:rPr>
          <w:rFonts w:hint="eastAsia" w:asciiTheme="minorHAnsi" w:hAnsiTheme="minorHAnsi" w:eastAsiaTheme="majorEastAsia" w:cstheme="minorHAnsi"/>
          <w:szCs w:val="21"/>
        </w:rPr>
        <w:t>，与其它参加语言课程的国际学生混班上课，迅速提升自身的英语水平，同时体验加拿大的社会与文化。</w:t>
      </w:r>
    </w:p>
    <w:p>
      <w:pPr>
        <w:widowControl/>
        <w:spacing w:line="360" w:lineRule="auto"/>
        <w:jc w:val="left"/>
        <w:rPr>
          <w:rFonts w:cs="Arial" w:asciiTheme="minorHAnsi" w:hAnsiTheme="minorHAnsi"/>
          <w:color w:val="333333"/>
          <w:kern w:val="0"/>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【体验北美纯正英语课程】参加加拿大名校的优质语言课程，每周20小时强化学习，有效提升语言技巧；</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【多伦多大学成绩单和学习证书】获得多伦多大学出具的正式成绩单及学习证明，为个人履历添砖加瓦；</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【尽享校园设施与资源】 获得多伦多大学学生证，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widowControl/>
        <w:numPr>
          <w:ilvl w:val="0"/>
          <w:numId w:val="1"/>
        </w:numPr>
        <w:spacing w:line="360" w:lineRule="auto"/>
        <w:jc w:val="left"/>
        <w:rPr>
          <w:rFonts w:cs="Calibri" w:asciiTheme="minorHAnsi" w:hAnsiTheme="minorHAnsi"/>
          <w:szCs w:val="21"/>
        </w:rPr>
      </w:pPr>
      <w:r>
        <w:drawing>
          <wp:anchor distT="0" distB="0" distL="114300" distR="114300" simplePos="0" relativeHeight="251656192" behindDoc="0" locked="0" layoutInCell="1" allowOverlap="1">
            <wp:simplePos x="0" y="0"/>
            <wp:positionH relativeFrom="column">
              <wp:posOffset>158750</wp:posOffset>
            </wp:positionH>
            <wp:positionV relativeFrom="paragraph">
              <wp:posOffset>738505</wp:posOffset>
            </wp:positionV>
            <wp:extent cx="5274310" cy="2040255"/>
            <wp:effectExtent l="0" t="0" r="254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40255"/>
                    </a:xfrm>
                    <a:prstGeom prst="rect">
                      <a:avLst/>
                    </a:prstGeom>
                  </pic:spPr>
                </pic:pic>
              </a:graphicData>
            </a:graphic>
          </wp:anchor>
        </w:drawing>
      </w:r>
      <w:r>
        <w:rPr>
          <w:rFonts w:hint="eastAsia" w:cs="Calibri" w:asciiTheme="minorHAnsi" w:hAnsiTheme="minorHAnsi"/>
          <w:szCs w:val="21"/>
        </w:rPr>
        <w:t>【丰富的文化活动体验】丰富多彩的加拿大文化体验，</w:t>
      </w:r>
      <w:r>
        <w:rPr>
          <w:rFonts w:hint="eastAsia" w:asciiTheme="minorHAnsi" w:hAnsiTheme="minorHAnsi" w:eastAsiaTheme="majorEastAsia" w:cstheme="minorHAnsi"/>
          <w:szCs w:val="21"/>
        </w:rPr>
        <w:t>游览尼亚加拉瀑布、参观博物馆、参加各类体育活动</w:t>
      </w:r>
      <w:r>
        <w:rPr>
          <w:rFonts w:hint="eastAsia" w:cs="Calibri" w:asciiTheme="minorHAnsi" w:hAnsiTheme="minorHAnsi"/>
          <w:szCs w:val="21"/>
        </w:rPr>
        <w:t>等。</w:t>
      </w:r>
    </w:p>
    <w:p>
      <w:pPr>
        <w:widowControl/>
        <w:spacing w:line="360" w:lineRule="auto"/>
        <w:jc w:val="left"/>
        <w:rPr>
          <w:rFonts w:cs="Calibri" w:asciiTheme="minorHAnsi" w:hAnsiTheme="minorHAnsi"/>
          <w:szCs w:val="21"/>
        </w:rPr>
      </w:pPr>
    </w:p>
    <w:p>
      <w:pPr>
        <w:widowControl/>
        <w:spacing w:line="360" w:lineRule="auto"/>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三、</w:t>
      </w:r>
      <w:r>
        <w:rPr>
          <w:rFonts w:asciiTheme="minorHAnsi" w:hAnsiTheme="minorHAnsi" w:eastAsiaTheme="majorEastAsia" w:cstheme="minorHAnsi"/>
          <w:b/>
          <w:bCs/>
          <w:kern w:val="0"/>
          <w:szCs w:val="21"/>
        </w:rPr>
        <w:t>多伦多大学</w:t>
      </w:r>
      <w:r>
        <w:rPr>
          <w:rFonts w:hint="eastAsia" w:asciiTheme="minorHAnsi" w:hAnsiTheme="minorHAnsi" w:eastAsiaTheme="majorEastAsia" w:cstheme="minorHAnsi"/>
          <w:b/>
          <w:bCs/>
          <w:kern w:val="0"/>
          <w:szCs w:val="21"/>
        </w:rPr>
        <w:t>简介</w:t>
      </w:r>
    </w:p>
    <w:p>
      <w:pPr>
        <w:pStyle w:val="19"/>
        <w:widowControl/>
        <w:numPr>
          <w:ilvl w:val="0"/>
          <w:numId w:val="2"/>
        </w:numPr>
        <w:spacing w:line="360" w:lineRule="auto"/>
        <w:ind w:firstLineChars="0"/>
        <w:jc w:val="left"/>
        <w:rPr>
          <w:rFonts w:asciiTheme="minorHAnsi" w:hAnsiTheme="minorHAnsi" w:eastAsiaTheme="majorEastAsia" w:cstheme="minorHAnsi"/>
          <w:szCs w:val="21"/>
        </w:rPr>
      </w:pPr>
      <w:r>
        <w:rPr>
          <w:rFonts w:cs="Arial" w:asciiTheme="minorHAnsi" w:hAnsiTheme="minorHAnsi"/>
          <w:color w:val="333333"/>
          <w:kern w:val="0"/>
          <w:szCs w:val="21"/>
        </w:rPr>
        <w:t>始建于1827年，加拿大顶尖学府，也是世界范围享有盛誉的</w:t>
      </w:r>
      <w:r>
        <w:rPr>
          <w:rFonts w:cs="Arial" w:asciiTheme="minorHAnsi" w:hAnsiTheme="minorHAnsi"/>
          <w:bCs/>
          <w:color w:val="333333"/>
          <w:kern w:val="0"/>
          <w:szCs w:val="21"/>
        </w:rPr>
        <w:t>公立研究性大学</w:t>
      </w:r>
      <w:r>
        <w:rPr>
          <w:rFonts w:hint="eastAsia" w:cs="Arial" w:asciiTheme="minorHAnsi" w:hAnsiTheme="minorHAnsi"/>
          <w:color w:val="333333"/>
          <w:kern w:val="0"/>
          <w:szCs w:val="21"/>
        </w:rPr>
        <w:t>；</w:t>
      </w:r>
    </w:p>
    <w:p>
      <w:pPr>
        <w:pStyle w:val="19"/>
        <w:widowControl/>
        <w:numPr>
          <w:ilvl w:val="0"/>
          <w:numId w:val="2"/>
        </w:numPr>
        <w:spacing w:line="360" w:lineRule="auto"/>
        <w:ind w:firstLineChars="0"/>
        <w:jc w:val="left"/>
        <w:rPr>
          <w:rFonts w:asciiTheme="minorHAnsi" w:hAnsiTheme="minorHAnsi" w:eastAsiaTheme="majorEastAsia" w:cstheme="minorHAnsi"/>
          <w:szCs w:val="21"/>
        </w:rPr>
      </w:pPr>
      <w:r>
        <w:rPr>
          <w:rFonts w:asciiTheme="minorHAnsi" w:hAnsiTheme="minorHAnsi"/>
        </w:rPr>
        <w:t>20</w:t>
      </w:r>
      <w:r>
        <w:rPr>
          <w:rFonts w:hint="eastAsia" w:asciiTheme="minorHAnsi" w:hAnsiTheme="minorHAnsi"/>
        </w:rPr>
        <w:t>20</w:t>
      </w:r>
      <w:r>
        <w:rPr>
          <w:rFonts w:asciiTheme="minorHAnsi" w:hAnsiTheme="minorHAnsi"/>
        </w:rPr>
        <w:t>年《美国新闻与世界报道》全球大学综合排名第</w:t>
      </w:r>
      <w:r>
        <w:rPr>
          <w:rFonts w:hint="eastAsia" w:asciiTheme="minorHAnsi" w:hAnsiTheme="minorHAnsi"/>
        </w:rPr>
        <w:t>18；2020年Times高等教育世界大学综合排名</w:t>
      </w:r>
      <w:r>
        <w:rPr>
          <w:rFonts w:asciiTheme="minorHAnsi" w:hAnsiTheme="minorHAnsi"/>
        </w:rPr>
        <w:t>第</w:t>
      </w:r>
      <w:r>
        <w:rPr>
          <w:rFonts w:hint="eastAsia" w:asciiTheme="minorHAnsi" w:hAnsiTheme="minorHAnsi"/>
        </w:rPr>
        <w:t>18</w:t>
      </w:r>
      <w:r>
        <w:rPr>
          <w:rFonts w:asciiTheme="minorHAnsi" w:hAnsiTheme="minorHAnsi"/>
        </w:rPr>
        <w:t>位</w:t>
      </w:r>
      <w:r>
        <w:rPr>
          <w:rFonts w:hint="eastAsia" w:asciiTheme="minorHAnsi" w:hAnsiTheme="minorHAnsi"/>
        </w:rPr>
        <w:t>。</w:t>
      </w:r>
      <w:r>
        <w:rPr>
          <w:rFonts w:asciiTheme="minorHAnsi" w:hAnsiTheme="minorHAnsi"/>
        </w:rPr>
        <w:t>同时，该校也是</w:t>
      </w:r>
      <w:r>
        <w:rPr>
          <w:rFonts w:cs="Arial" w:asciiTheme="minorHAnsi" w:hAnsiTheme="minorHAnsi"/>
          <w:color w:val="333333"/>
          <w:kern w:val="0"/>
        </w:rPr>
        <w:t>美国大学协会</w:t>
      </w:r>
      <w:r>
        <w:rPr>
          <w:rFonts w:cs="Arial" w:asciiTheme="minorHAnsi" w:hAnsiTheme="minorHAnsi"/>
          <w:color w:val="333333"/>
          <w:kern w:val="0"/>
          <w:szCs w:val="21"/>
        </w:rPr>
        <w:t>（北美大学联盟）中仅有的两所非美国学府之一。</w:t>
      </w:r>
    </w:p>
    <w:p>
      <w:pPr>
        <w:pStyle w:val="19"/>
        <w:widowControl/>
        <w:numPr>
          <w:ilvl w:val="0"/>
          <w:numId w:val="2"/>
        </w:numPr>
        <w:spacing w:line="360" w:lineRule="auto"/>
        <w:ind w:firstLineChars="0"/>
        <w:jc w:val="left"/>
        <w:rPr>
          <w:rFonts w:asciiTheme="minorHAnsi" w:hAnsiTheme="minorHAnsi" w:eastAsiaTheme="majorEastAsia" w:cstheme="minorHAnsi"/>
          <w:szCs w:val="21"/>
        </w:rPr>
      </w:pPr>
      <w:r>
        <w:rPr>
          <w:rFonts w:hint="eastAsia" w:cs="Arial" w:asciiTheme="minorHAnsi" w:hAnsiTheme="minorHAnsi"/>
          <w:color w:val="333333"/>
          <w:kern w:val="0"/>
          <w:szCs w:val="21"/>
        </w:rPr>
        <w:t>位于多伦多，是</w:t>
      </w:r>
      <w:r>
        <w:rPr>
          <w:rFonts w:hint="eastAsia" w:ascii="Arial" w:hAnsi="Arial" w:cs="Arial"/>
          <w:color w:val="333333"/>
          <w:kern w:val="0"/>
          <w:szCs w:val="21"/>
        </w:rPr>
        <w:t>加拿大第一大城市与北美第四大城市，也是世界著名的最多元化、最安全宜居的国际化大都市，拥有怡人的环境和高品质的生活。</w:t>
      </w:r>
    </w:p>
    <w:p>
      <w:pPr>
        <w:pStyle w:val="19"/>
        <w:widowControl/>
        <w:spacing w:line="360" w:lineRule="auto"/>
        <w:ind w:left="840" w:firstLine="0" w:firstLineChars="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四、项目详情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2020年</w:t>
      </w:r>
      <w:r>
        <w:rPr>
          <w:rFonts w:hint="eastAsia" w:asciiTheme="minorHAnsi" w:hAnsiTheme="minorHAnsi" w:eastAsiaTheme="majorEastAsia" w:cstheme="minorHAnsi"/>
          <w:szCs w:val="21"/>
        </w:rPr>
        <w:t xml:space="preserve">7月6日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7月31日，或8</w:t>
      </w:r>
      <w:r>
        <w:rPr>
          <w:rFonts w:asciiTheme="minorHAnsi" w:hAnsiTheme="minorHAnsi" w:eastAsiaTheme="majorEastAsia" w:cstheme="minorHAnsi"/>
          <w:szCs w:val="21"/>
        </w:rPr>
        <w:t>月</w:t>
      </w:r>
      <w:r>
        <w:rPr>
          <w:rFonts w:hint="eastAsia" w:asciiTheme="minorHAnsi" w:hAnsiTheme="minorHAnsi" w:eastAsiaTheme="majorEastAsia" w:cstheme="minorHAnsi"/>
          <w:szCs w:val="21"/>
        </w:rPr>
        <w:t>4</w:t>
      </w:r>
      <w:r>
        <w:rPr>
          <w:rFonts w:asciiTheme="minorHAnsi" w:hAnsiTheme="minorHAnsi" w:eastAsiaTheme="majorEastAsia" w:cstheme="minorHAnsi"/>
          <w:szCs w:val="21"/>
        </w:rPr>
        <w:t xml:space="preserve">日 – </w:t>
      </w:r>
      <w:r>
        <w:rPr>
          <w:rFonts w:hint="eastAsia" w:asciiTheme="minorHAnsi" w:hAnsiTheme="minorHAnsi" w:eastAsiaTheme="majorEastAsia" w:cstheme="minorHAnsi"/>
          <w:szCs w:val="21"/>
        </w:rPr>
        <w:t>8</w:t>
      </w:r>
      <w:r>
        <w:rPr>
          <w:rFonts w:asciiTheme="minorHAnsi" w:hAnsiTheme="minorHAnsi" w:eastAsiaTheme="majorEastAsia" w:cstheme="minorHAnsi"/>
          <w:szCs w:val="21"/>
        </w:rPr>
        <w:t>月</w:t>
      </w:r>
      <w:r>
        <w:rPr>
          <w:rFonts w:hint="eastAsia" w:asciiTheme="minorHAnsi" w:hAnsiTheme="minorHAnsi" w:eastAsiaTheme="majorEastAsia" w:cstheme="minorHAnsi"/>
          <w:szCs w:val="21"/>
        </w:rPr>
        <w:t>28</w:t>
      </w:r>
      <w:r>
        <w:rPr>
          <w:rFonts w:asciiTheme="minorHAnsi" w:hAnsiTheme="minorHAnsi" w:eastAsiaTheme="majorEastAsia" w:cstheme="minorHAnsi"/>
          <w:szCs w:val="21"/>
        </w:rPr>
        <w:t>日</w:t>
      </w:r>
      <w:r>
        <w:rPr>
          <w:rFonts w:hint="eastAsia" w:cs="Arial" w:asciiTheme="minorHAnsi" w:hAnsiTheme="minorHAnsi"/>
          <w:color w:val="333333"/>
          <w:kern w:val="0"/>
          <w:szCs w:val="21"/>
        </w:rPr>
        <w:t>（4周）</w:t>
      </w:r>
      <w:r>
        <w:rPr>
          <w:rFonts w:cs="Arial" w:asciiTheme="minorHAnsi" w:hAnsiTheme="minorHAnsi"/>
          <w:color w:val="333333"/>
          <w:kern w:val="0"/>
          <w:szCs w:val="21"/>
        </w:rPr>
        <w:t xml:space="preserve">   </w:t>
      </w:r>
      <w:r>
        <w:rPr>
          <w:rFonts w:asciiTheme="minorHAnsi" w:hAnsiTheme="minorHAnsi" w:eastAsiaTheme="majorEastAsia" w:cstheme="minorHAnsi"/>
          <w:b/>
          <w:bCs/>
          <w:kern w:val="0"/>
          <w:szCs w:val="21"/>
        </w:rPr>
        <w:br w:type="textWrapping"/>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kern w:val="0"/>
          <w:szCs w:val="21"/>
        </w:rPr>
        <w:t>参加多伦多大学</w:t>
      </w:r>
      <w:r>
        <w:rPr>
          <w:rFonts w:hint="eastAsia" w:asciiTheme="minorHAnsi" w:hAnsiTheme="minorHAnsi" w:eastAsiaTheme="majorEastAsia" w:cstheme="minorHAnsi"/>
          <w:kern w:val="0"/>
          <w:szCs w:val="21"/>
        </w:rPr>
        <w:t>寒假</w:t>
      </w:r>
      <w:r>
        <w:rPr>
          <w:rFonts w:asciiTheme="minorHAnsi" w:hAnsiTheme="minorHAnsi" w:eastAsiaTheme="majorEastAsia" w:cstheme="minorHAnsi"/>
          <w:kern w:val="0"/>
          <w:szCs w:val="21"/>
        </w:rPr>
        <w:t>语言项目的学生</w:t>
      </w:r>
      <w:r>
        <w:rPr>
          <w:rFonts w:asciiTheme="minorHAnsi" w:hAnsiTheme="minorHAnsi" w:eastAsiaTheme="majorEastAsia" w:cstheme="minorHAnsi"/>
          <w:szCs w:val="21"/>
        </w:rPr>
        <w:t>可选报</w:t>
      </w:r>
      <w:r>
        <w:rPr>
          <w:rFonts w:hint="eastAsia" w:asciiTheme="minorHAnsi" w:hAnsiTheme="minorHAnsi" w:eastAsiaTheme="majorEastAsia" w:cstheme="minorHAnsi"/>
          <w:szCs w:val="21"/>
        </w:rPr>
        <w:t>“高效沟通英语”课程（English for Effective Communication），或“商务沟通英语”课程（E</w:t>
      </w:r>
      <w:r>
        <w:rPr>
          <w:rFonts w:asciiTheme="minorHAnsi" w:hAnsiTheme="minorHAnsi" w:eastAsiaTheme="majorEastAsia" w:cstheme="minorHAnsi"/>
          <w:szCs w:val="21"/>
        </w:rPr>
        <w:t>nglish for Business Communication</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参加项目的学生与多伦多大学在读的语言项目学生混合编班，由多大进行统一的学术管理与学术考核，获得多大正式成绩单。</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高效沟通英语”课程旨在提升学生的日常英语沟通能力，每周约20学时，适合初级高级各级别的学生，主要内容包括改进口语表达、扩展词汇储备、提高听力理解、了解加拿大与北美文化、与来自各地的学生进行交流互动等。通过参加项目，学生将建立有效使用英语沟通的自信，尤其是提高听说技巧。</w:t>
      </w:r>
    </w:p>
    <w:p>
      <w:pPr>
        <w:spacing w:line="360" w:lineRule="auto"/>
        <w:ind w:firstLine="420" w:firstLineChars="200"/>
        <w:rPr>
          <w:rFonts w:cs="Calibri" w:asciiTheme="minorHAnsi" w:hAnsiTheme="minorHAnsi"/>
          <w:sz w:val="22"/>
          <w:szCs w:val="22"/>
        </w:rPr>
      </w:pPr>
      <w:r>
        <w:drawing>
          <wp:anchor distT="0" distB="0" distL="114300" distR="114300" simplePos="0" relativeHeight="251657216" behindDoc="0" locked="0" layoutInCell="1" allowOverlap="1">
            <wp:simplePos x="0" y="0"/>
            <wp:positionH relativeFrom="column">
              <wp:posOffset>0</wp:posOffset>
            </wp:positionH>
            <wp:positionV relativeFrom="paragraph">
              <wp:posOffset>991235</wp:posOffset>
            </wp:positionV>
            <wp:extent cx="5274310" cy="2045970"/>
            <wp:effectExtent l="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2045970"/>
                    </a:xfrm>
                    <a:prstGeom prst="rect">
                      <a:avLst/>
                    </a:prstGeom>
                  </pic:spPr>
                </pic:pic>
              </a:graphicData>
            </a:graphic>
          </wp:anchor>
        </w:drawing>
      </w:r>
      <w:r>
        <w:rPr>
          <w:rFonts w:hint="eastAsia" w:asciiTheme="minorHAnsi" w:hAnsiTheme="minorHAnsi" w:eastAsiaTheme="majorEastAsia" w:cstheme="minorHAnsi"/>
          <w:szCs w:val="21"/>
        </w:rPr>
        <w:t>“商务沟通英语”课程旨在提升商务情景中有效使用英语所需的技能，适合中级至高级的学生。通过完成学习任务和模拟的国际商务环境，学生能够提高商务英语听说读写技巧，从而收获职业英语运用的自信。</w:t>
      </w: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ind w:firstLine="420" w:firstLineChars="200"/>
        <w:rPr>
          <w:rFonts w:cs="Calibri" w:asciiTheme="minorHAnsi" w:hAnsiTheme="minorHAnsi"/>
          <w:szCs w:val="21"/>
        </w:rPr>
      </w:pPr>
      <w:r>
        <w:rPr>
          <w:szCs w:val="21"/>
        </w:rPr>
        <w:drawing>
          <wp:anchor distT="0" distB="0" distL="114300" distR="114300" simplePos="0" relativeHeight="251660288" behindDoc="0" locked="0" layoutInCell="1" allowOverlap="1">
            <wp:simplePos x="0" y="0"/>
            <wp:positionH relativeFrom="column">
              <wp:posOffset>2762250</wp:posOffset>
            </wp:positionH>
            <wp:positionV relativeFrom="paragraph">
              <wp:posOffset>57150</wp:posOffset>
            </wp:positionV>
            <wp:extent cx="2438400" cy="1588135"/>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438400" cy="1588135"/>
                    </a:xfrm>
                    <a:prstGeom prst="rect">
                      <a:avLst/>
                    </a:prstGeom>
                  </pic:spPr>
                </pic:pic>
              </a:graphicData>
            </a:graphic>
          </wp:anchor>
        </w:drawing>
      </w:r>
      <w:r>
        <w:rPr>
          <w:rFonts w:hint="eastAsia" w:cs="Calibri" w:asciiTheme="minorHAnsi" w:hAnsiTheme="minorHAnsi"/>
          <w:szCs w:val="21"/>
        </w:rPr>
        <w:t>项目学生均可获得</w:t>
      </w:r>
      <w:r>
        <w:rPr>
          <w:rFonts w:hint="eastAsia" w:asciiTheme="minorHAnsi" w:hAnsiTheme="minorHAnsi" w:eastAsiaTheme="majorEastAsia" w:cstheme="minorHAnsi"/>
          <w:szCs w:val="21"/>
        </w:rPr>
        <w:t>多伦多大学</w:t>
      </w:r>
      <w:r>
        <w:rPr>
          <w:rFonts w:hint="eastAsia" w:cs="Calibri" w:asciiTheme="minorHAnsi" w:hAnsiTheme="minorHAnsi"/>
          <w:szCs w:val="21"/>
        </w:rPr>
        <w:t>正式注册的学生证，凭借学生证可在项目期内，按校方规定使用学校的校园设施与教育资源，包括图书馆、健身房、活动中心等。学生将入住当地的寄宿家庭，能够更加迅速提高自己的语言水平。</w:t>
      </w:r>
    </w:p>
    <w:p>
      <w:pPr>
        <w:spacing w:line="360" w:lineRule="auto"/>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Calibri" w:hAnsi="Calibri" w:cs="Calibri"/>
        </w:rPr>
      </w:pPr>
      <w:r>
        <w:rPr>
          <w:rFonts w:hint="eastAsia" w:asciiTheme="minorHAnsi" w:hAnsiTheme="minorHAnsi" w:eastAsiaTheme="majorEastAsia" w:cstheme="minorHAnsi"/>
          <w:szCs w:val="21"/>
        </w:rPr>
        <w:t>顺利完成所有课程，并通过学术考核的学生，将获得多伦多大学出具的正式成绩单及学习证明。</w:t>
      </w:r>
    </w:p>
    <w:p>
      <w:pPr>
        <w:pStyle w:val="19"/>
        <w:widowControl/>
        <w:spacing w:line="360" w:lineRule="auto"/>
        <w:ind w:left="840" w:firstLine="0" w:firstLineChars="0"/>
        <w:jc w:val="left"/>
        <w:rPr>
          <w:rFonts w:asciiTheme="minorHAnsi" w:hAnsiTheme="minorHAnsi" w:eastAsiaTheme="majorEastAsia" w:cstheme="minorHAnsi"/>
          <w:bCs/>
          <w:kern w:val="0"/>
          <w:szCs w:val="21"/>
        </w:rPr>
      </w:pPr>
      <w:r>
        <w:drawing>
          <wp:anchor distT="0" distB="0" distL="114300" distR="114300" simplePos="0" relativeHeight="251659264" behindDoc="0" locked="0" layoutInCell="1" allowOverlap="1">
            <wp:simplePos x="0" y="0"/>
            <wp:positionH relativeFrom="column">
              <wp:posOffset>47625</wp:posOffset>
            </wp:positionH>
            <wp:positionV relativeFrom="paragraph">
              <wp:posOffset>87630</wp:posOffset>
            </wp:positionV>
            <wp:extent cx="2257425" cy="2903855"/>
            <wp:effectExtent l="0" t="0" r="9525"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2257425" cy="2903855"/>
                    </a:xfrm>
                    <a:prstGeom prst="rect">
                      <a:avLst/>
                    </a:prstGeom>
                  </pic:spPr>
                </pic:pic>
              </a:graphicData>
            </a:graphic>
          </wp:anchor>
        </w:drawing>
      </w: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p>
    <w:p>
      <w:pPr>
        <w:pStyle w:val="19"/>
        <w:widowControl/>
        <w:spacing w:line="360" w:lineRule="auto"/>
        <w:ind w:left="840" w:firstLine="0" w:firstLineChars="0"/>
        <w:jc w:val="left"/>
        <w:rPr>
          <w:rFonts w:asciiTheme="minorHAnsi" w:hAnsiTheme="minorHAnsi" w:eastAsiaTheme="majorEastAsia" w:cstheme="minorHAnsi"/>
          <w:bCs/>
          <w:kern w:val="0"/>
          <w:szCs w:val="21"/>
        </w:rPr>
      </w:pPr>
      <w:r>
        <w:rPr>
          <w:rFonts w:hint="eastAsia" w:asciiTheme="minorHAnsi" w:hAnsiTheme="minorHAnsi" w:eastAsiaTheme="majorEastAsia" w:cstheme="minorHAnsi"/>
          <w:bCs/>
          <w:kern w:val="0"/>
          <w:szCs w:val="21"/>
        </w:rPr>
        <w:t xml:space="preserve"> 图：多大语言文化课程项目证书样图</w:t>
      </w:r>
    </w:p>
    <w:p>
      <w:pPr>
        <w:widowControl/>
        <w:spacing w:line="360" w:lineRule="auto"/>
        <w:jc w:val="left"/>
        <w:rPr>
          <w:rFonts w:asciiTheme="minorHAnsi" w:hAnsiTheme="minorHAnsi" w:eastAsiaTheme="majorEastAsia" w:cstheme="minorHAnsi"/>
          <w:bCs/>
          <w:kern w:val="0"/>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约3,656加元（约合人民币1.94万元）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学费、医疗与意外保险、接机、及项目管理费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 w:val="22"/>
                <w:szCs w:val="22"/>
              </w:rPr>
              <w:t>多伦多地区的寄宿费用大约为每月</w:t>
            </w:r>
            <w:r>
              <w:rPr>
                <w:rFonts w:cs="Calibri" w:asciiTheme="minorHAnsi" w:hAnsiTheme="minorHAnsi"/>
                <w:color w:val="000000" w:themeColor="text1"/>
                <w:sz w:val="22"/>
                <w:szCs w:val="22"/>
                <w14:textFill>
                  <w14:solidFill>
                    <w14:schemeClr w14:val="tx1"/>
                  </w14:solidFill>
                </w14:textFill>
              </w:rPr>
              <w:t>1</w:t>
            </w:r>
            <w:r>
              <w:rPr>
                <w:rFonts w:hint="eastAsia" w:cs="Calibri" w:asciiTheme="minorHAnsi" w:hAnsiTheme="minorHAnsi"/>
                <w:color w:val="000000" w:themeColor="text1"/>
                <w:sz w:val="22"/>
                <w:szCs w:val="22"/>
                <w14:textFill>
                  <w14:solidFill>
                    <w14:schemeClr w14:val="tx1"/>
                  </w14:solidFill>
                </w14:textFill>
              </w:rPr>
              <w:t>,</w:t>
            </w:r>
            <w:r>
              <w:rPr>
                <w:rFonts w:cs="Calibri" w:asciiTheme="minorHAnsi" w:hAnsiTheme="minorHAnsi"/>
                <w:color w:val="000000" w:themeColor="text1"/>
                <w:sz w:val="22"/>
                <w:szCs w:val="22"/>
                <w14:textFill>
                  <w14:solidFill>
                    <w14:schemeClr w14:val="tx1"/>
                  </w14:solidFill>
                </w14:textFill>
              </w:rPr>
              <w:t>200</w:t>
            </w:r>
            <w:r>
              <w:rPr>
                <w:rFonts w:hint="eastAsia" w:cs="Calibri"/>
                <w:color w:val="000000" w:themeColor="text1"/>
                <w:sz w:val="22"/>
                <w:szCs w:val="22"/>
                <w14:textFill>
                  <w14:solidFill>
                    <w14:schemeClr w14:val="tx1"/>
                  </w14:solidFill>
                </w14:textFill>
              </w:rPr>
              <w:t>加元左右</w:t>
            </w:r>
          </w:p>
        </w:tc>
      </w:tr>
    </w:tbl>
    <w:p>
      <w:pPr>
        <w:spacing w:line="360" w:lineRule="auto"/>
        <w:rPr>
          <w:rFonts w:asciiTheme="minorHAnsi" w:hAnsiTheme="minorHAnsi" w:eastAsiaTheme="majorEastAsia" w:cstheme="minorHAnsi"/>
          <w:b/>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9"/>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left="420" w:leftChars="100" w:hanging="210" w:hangingChars="1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暑期</w:t>
      </w:r>
      <w:r>
        <w:rPr>
          <w:rFonts w:cs="Calibri" w:asciiTheme="minorHAnsi" w:hAnsiTheme="minorHAnsi"/>
          <w:szCs w:val="21"/>
        </w:rPr>
        <w:t>多伦多大学访学项目，我校选拔名额为</w:t>
      </w:r>
      <w:r>
        <w:rPr>
          <w:rFonts w:hint="eastAsia" w:cs="Calibri" w:asciiTheme="minorHAnsi" w:hAnsiTheme="minorHAnsi"/>
          <w:szCs w:val="21"/>
          <w:lang w:val="en-US" w:eastAsia="zh-CN"/>
        </w:rPr>
        <w:t>5</w:t>
      </w:r>
      <w:r>
        <w:rPr>
          <w:rFonts w:cs="Calibri" w:asciiTheme="minorHAnsi" w:hAnsiTheme="minorHAnsi"/>
          <w:szCs w:val="21"/>
        </w:rPr>
        <w:t>名</w:t>
      </w:r>
      <w:r>
        <w:rPr>
          <w:rFonts w:hint="eastAsia" w:cs="Calibri" w:asciiTheme="minorHAnsi" w:hAnsiTheme="minorHAnsi"/>
          <w:szCs w:val="21"/>
        </w:rPr>
        <w:t>。</w:t>
      </w:r>
    </w:p>
    <w:p>
      <w:pPr>
        <w:pStyle w:val="19"/>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：2020年</w:t>
      </w:r>
      <w:r>
        <w:rPr>
          <w:rFonts w:hint="eastAsia" w:asciiTheme="minorHAnsi" w:hAnsiTheme="minorHAnsi" w:eastAsiaTheme="majorEastAsia" w:cstheme="minorHAnsi"/>
          <w:kern w:val="0"/>
          <w:szCs w:val="21"/>
          <w:lang w:val="en-US" w:eastAsia="zh-CN"/>
        </w:rPr>
        <w:t>4</w:t>
      </w:r>
      <w:r>
        <w:rPr>
          <w:rFonts w:hint="eastAsia" w:asciiTheme="minorHAnsi" w:hAnsiTheme="minorHAnsi" w:eastAsiaTheme="majorEastAsia" w:cstheme="minorHAnsi"/>
          <w:kern w:val="0"/>
          <w:szCs w:val="21"/>
        </w:rPr>
        <w:t>月</w:t>
      </w:r>
      <w:r>
        <w:rPr>
          <w:rFonts w:hint="eastAsia" w:asciiTheme="minorHAnsi" w:hAnsiTheme="minorHAnsi" w:eastAsiaTheme="majorEastAsia" w:cstheme="minorHAnsi"/>
          <w:kern w:val="0"/>
          <w:szCs w:val="21"/>
          <w:lang w:val="en-US" w:eastAsia="zh-CN"/>
        </w:rPr>
        <w:t>30</w:t>
      </w:r>
      <w:r>
        <w:rPr>
          <w:rFonts w:hint="eastAsia" w:asciiTheme="minorHAnsi" w:hAnsiTheme="minorHAnsi" w:eastAsiaTheme="majorEastAsia" w:cstheme="minorHAnsi"/>
          <w:kern w:val="0"/>
          <w:szCs w:val="21"/>
        </w:rPr>
        <w:t>日</w:t>
      </w:r>
    </w:p>
    <w:p>
      <w:pPr>
        <w:pStyle w:val="19"/>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9"/>
        <w:numPr>
          <w:ilvl w:val="0"/>
          <w:numId w:val="4"/>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19"/>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全美国际教育协会网站www.usiea.org填写《世界名校访学2020-2021学年夏秋项目报名表》，网上报名的时间决定录取的顺序和安排宿舍的顺序</w:t>
      </w:r>
      <w:r>
        <w:rPr>
          <w:rFonts w:asciiTheme="minorHAnsi" w:hAnsiTheme="minorHAnsi" w:eastAsiaTheme="majorEastAsia" w:cstheme="minorHAnsi"/>
          <w:szCs w:val="21"/>
        </w:rPr>
        <w:t>；</w:t>
      </w:r>
    </w:p>
    <w:p>
      <w:pPr>
        <w:pStyle w:val="19"/>
        <w:numPr>
          <w:ilvl w:val="0"/>
          <w:numId w:val="5"/>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19"/>
        <w:numPr>
          <w:ilvl w:val="0"/>
          <w:numId w:val="5"/>
        </w:numPr>
        <w:spacing w:line="360" w:lineRule="auto"/>
        <w:ind w:firstLineChars="0"/>
        <w:jc w:val="left"/>
        <w:rPr>
          <w:rFonts w:ascii="Calibri" w:hAnsi="Calibri" w:cs="Calibri"/>
          <w:szCs w:val="21"/>
        </w:rPr>
      </w:pPr>
      <w:r>
        <w:rPr>
          <w:rFonts w:ascii="Calibri" w:hAnsi="Calibri" w:cs="Calibri"/>
          <w:szCs w:val="21"/>
        </w:rPr>
        <w:t>学生提交正式申请材料并缴纳项目费用，获得学校录取及签证后赴</w:t>
      </w:r>
      <w:r>
        <w:rPr>
          <w:rFonts w:hint="eastAsia" w:ascii="Calibri" w:hAnsi="Calibri" w:cs="Calibri"/>
          <w:szCs w:val="21"/>
        </w:rPr>
        <w:t>加</w:t>
      </w:r>
      <w:r>
        <w:rPr>
          <w:rFonts w:ascii="Calibri" w:hAnsi="Calibri" w:cs="Calibri"/>
          <w:szCs w:val="21"/>
        </w:rPr>
        <w:t>学习</w:t>
      </w:r>
      <w:r>
        <w:rPr>
          <w:rFonts w:hint="eastAsia" w:ascii="Calibri" w:hAnsi="Calibri" w:cs="Calibri"/>
          <w:szCs w:val="21"/>
        </w:rPr>
        <w:t>；</w:t>
      </w:r>
    </w:p>
    <w:p>
      <w:pPr>
        <w:pStyle w:val="19"/>
        <w:numPr>
          <w:ilvl w:val="0"/>
          <w:numId w:val="5"/>
        </w:numPr>
        <w:spacing w:line="360" w:lineRule="auto"/>
        <w:ind w:firstLineChars="0"/>
        <w:jc w:val="left"/>
        <w:rPr>
          <w:rFonts w:ascii="Calibri" w:hAnsi="Calibri" w:cs="Calibri"/>
          <w:color w:val="000000" w:themeColor="text1"/>
          <w:szCs w:val="21"/>
          <w:highlight w:val="none"/>
          <w14:textFill>
            <w14:solidFill>
              <w14:schemeClr w14:val="tx1"/>
            </w14:solidFill>
          </w14:textFill>
        </w:rPr>
      </w:pPr>
      <w:r>
        <w:rPr>
          <w:rFonts w:hint="eastAsia" w:asciiTheme="minorHAnsi" w:hAnsiTheme="minorHAnsi" w:eastAsiaTheme="majorEastAsia" w:cstheme="minorHAnsi"/>
          <w:szCs w:val="21"/>
          <w:lang w:val="en-US" w:eastAsia="zh-CN"/>
        </w:rPr>
        <w:t xml:space="preserve"> </w:t>
      </w:r>
      <w:r>
        <w:rPr>
          <w:rFonts w:hint="eastAsia" w:ascii="Calibri" w:hAnsi="Calibri" w:cs="Calibri"/>
          <w:color w:val="000000" w:themeColor="text1"/>
          <w:szCs w:val="21"/>
          <w:highlight w:val="none"/>
          <w14:textFill>
            <w14:solidFill>
              <w14:schemeClr w14:val="tx1"/>
            </w14:solidFill>
          </w14:textFill>
        </w:rPr>
        <w:t>咨询电话：</w:t>
      </w:r>
    </w:p>
    <w:p>
      <w:pPr>
        <w:spacing w:line="360" w:lineRule="auto"/>
        <w:ind w:firstLine="211" w:firstLineChars="100"/>
        <w:rPr>
          <w:rFonts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国际交流处综合楼707 廖老师 电话：020-84096080 </w:t>
      </w:r>
    </w:p>
    <w:p>
      <w:pPr>
        <w:spacing w:line="360" w:lineRule="auto"/>
        <w:ind w:firstLine="211" w:firstLineChars="100"/>
        <w:rPr>
          <w:rFonts w:hint="eastAsia"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全美国际教育协会咨询电话: </w:t>
      </w:r>
    </w:p>
    <w:p>
      <w:pPr>
        <w:spacing w:line="360" w:lineRule="auto"/>
        <w:ind w:firstLine="211" w:firstLineChars="100"/>
        <w:rPr>
          <w:rFonts w:hint="eastAsia" w:ascii="Calibri" w:hAnsi="Calibri" w:cs="Calibri"/>
          <w:b/>
          <w:color w:val="000000" w:themeColor="text1"/>
          <w:kern w:val="0"/>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曾老师</w:t>
      </w:r>
      <w:r>
        <w:rPr>
          <w:rFonts w:hint="eastAsia" w:ascii="Calibri" w:hAnsi="Calibri" w:cs="Calibri"/>
          <w:b/>
          <w:color w:val="000000" w:themeColor="text1"/>
          <w:kern w:val="0"/>
          <w:sz w:val="21"/>
          <w:szCs w:val="21"/>
          <w:highlight w:val="none"/>
          <w14:textFill>
            <w14:solidFill>
              <w14:schemeClr w14:val="tx1"/>
            </w14:solidFill>
          </w14:textFill>
        </w:rPr>
        <w:t xml:space="preserve">189 2278 0945（微信同，周一至周五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ind w:firstLine="211" w:firstLineChars="100"/>
        <w:rPr>
          <w:rFonts w:ascii="Calibri" w:hAnsi="Calibri" w:cs="Calibri"/>
          <w:szCs w:val="21"/>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朱老师 138 2976 1018</w:t>
      </w:r>
      <w:r>
        <w:rPr>
          <w:rFonts w:hint="eastAsia" w:ascii="Calibri" w:hAnsi="Calibri" w:cs="Calibri"/>
          <w:b/>
          <w:color w:val="000000" w:themeColor="text1"/>
          <w:kern w:val="0"/>
          <w:sz w:val="21"/>
          <w:szCs w:val="21"/>
          <w:highlight w:val="none"/>
          <w14:textFill>
            <w14:solidFill>
              <w14:schemeClr w14:val="tx1"/>
            </w14:solidFill>
          </w14:textFill>
        </w:rPr>
        <w:t xml:space="preserve">（微信同，周一至周五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bookmarkStart w:id="0" w:name="_GoBack"/>
      <w:bookmarkEnd w:id="0"/>
    </w:p>
    <w:p>
      <w:pPr>
        <w:spacing w:line="360" w:lineRule="auto"/>
        <w:ind w:left="360"/>
        <w:rPr>
          <w:rFonts w:asciiTheme="minorHAnsi" w:hAnsiTheme="minorHAnsi" w:eastAsiaTheme="majorEastAsia" w:cstheme="minorHAnsi"/>
          <w:szCs w:val="21"/>
        </w:rPr>
      </w:pPr>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"mailto:visituoft@yeah.net" </w:instrText>
      </w:r>
      <w:r>
        <w:fldChar w:fldCharType="separate"/>
      </w:r>
      <w:r>
        <w:rPr>
          <w:rStyle w:val="14"/>
          <w:rFonts w:ascii="Calibri" w:hAnsi="Calibri" w:cs="Calibri"/>
          <w:kern w:val="0"/>
          <w:sz w:val="22"/>
        </w:rPr>
        <w:t>visit</w:t>
      </w:r>
      <w:r>
        <w:rPr>
          <w:rStyle w:val="14"/>
          <w:rFonts w:hint="eastAsia" w:ascii="Calibri" w:hAnsi="Calibri" w:cs="Calibri"/>
          <w:kern w:val="0"/>
          <w:sz w:val="22"/>
        </w:rPr>
        <w:t>uoft</w:t>
      </w:r>
      <w:r>
        <w:rPr>
          <w:rStyle w:val="14"/>
          <w:rFonts w:ascii="Calibri" w:hAnsi="Calibri" w:cs="Calibri"/>
          <w:kern w:val="0"/>
          <w:sz w:val="22"/>
        </w:rPr>
        <w:t>@yeah.net</w:t>
      </w:r>
      <w:r>
        <w:rPr>
          <w:rStyle w:val="14"/>
          <w:rFonts w:ascii="Calibri" w:hAnsi="Calibri" w:cs="Calibri"/>
          <w:kern w:val="0"/>
          <w:sz w:val="22"/>
        </w:rPr>
        <w:fldChar w:fldCharType="end"/>
      </w:r>
      <w:r>
        <w:rPr>
          <w:rStyle w:val="14"/>
          <w:rFonts w:ascii="Calibri" w:hAnsi="Calibri" w:cs="Calibri"/>
          <w:kern w:val="0"/>
          <w:sz w:val="22"/>
        </w:rPr>
        <w:t xml:space="preserve"> </w:t>
      </w:r>
      <w:r>
        <w:rPr>
          <w:rFonts w:asciiTheme="minorHAnsi" w:hAnsiTheme="minorHAnsi"/>
          <w:color w:val="0068B7"/>
        </w:rPr>
        <w:t xml:space="preserve"> </w:t>
      </w:r>
      <w:r>
        <w:rPr>
          <w:rFonts w:asciiTheme="minorHAnsi" w:hAnsiTheme="minorHAnsi"/>
        </w:rPr>
        <w:t xml:space="preserve"> </w:t>
      </w:r>
    </w:p>
    <w:p>
      <w:pPr>
        <w:widowControl/>
        <w:spacing w:line="360" w:lineRule="auto"/>
        <w:jc w:val="left"/>
        <w:rPr>
          <w:rFonts w:cs="Calibri" w:asciiTheme="minorHAnsi" w:hAnsiTheme="minorHAnsi"/>
          <w:kern w:val="0"/>
          <w:sz w:val="22"/>
        </w:rPr>
      </w:pP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412E4E01"/>
    <w:multiLevelType w:val="multilevel"/>
    <w:tmpl w:val="412E4E01"/>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35D7"/>
    <w:rsid w:val="0000590A"/>
    <w:rsid w:val="00006712"/>
    <w:rsid w:val="00010F31"/>
    <w:rsid w:val="000169DD"/>
    <w:rsid w:val="000176DF"/>
    <w:rsid w:val="00020964"/>
    <w:rsid w:val="00022AFD"/>
    <w:rsid w:val="000230BD"/>
    <w:rsid w:val="00023476"/>
    <w:rsid w:val="000236D2"/>
    <w:rsid w:val="00024C64"/>
    <w:rsid w:val="00025206"/>
    <w:rsid w:val="00027A0F"/>
    <w:rsid w:val="0003068E"/>
    <w:rsid w:val="00030A02"/>
    <w:rsid w:val="00031403"/>
    <w:rsid w:val="000362BD"/>
    <w:rsid w:val="00040016"/>
    <w:rsid w:val="000402B0"/>
    <w:rsid w:val="00041148"/>
    <w:rsid w:val="00041BDA"/>
    <w:rsid w:val="00044B87"/>
    <w:rsid w:val="00046229"/>
    <w:rsid w:val="000519A2"/>
    <w:rsid w:val="00051A3D"/>
    <w:rsid w:val="0005389A"/>
    <w:rsid w:val="00060047"/>
    <w:rsid w:val="0006181E"/>
    <w:rsid w:val="00061D57"/>
    <w:rsid w:val="00065242"/>
    <w:rsid w:val="00067D4B"/>
    <w:rsid w:val="0007638C"/>
    <w:rsid w:val="000820F9"/>
    <w:rsid w:val="000840CC"/>
    <w:rsid w:val="0009206E"/>
    <w:rsid w:val="000954F4"/>
    <w:rsid w:val="000A0A86"/>
    <w:rsid w:val="000A2A22"/>
    <w:rsid w:val="000A4030"/>
    <w:rsid w:val="000A5251"/>
    <w:rsid w:val="000A5300"/>
    <w:rsid w:val="000B1A29"/>
    <w:rsid w:val="000B488B"/>
    <w:rsid w:val="000C2F7C"/>
    <w:rsid w:val="000C3F5B"/>
    <w:rsid w:val="000C4E56"/>
    <w:rsid w:val="000C5C18"/>
    <w:rsid w:val="000C7850"/>
    <w:rsid w:val="000C7F9A"/>
    <w:rsid w:val="000D3060"/>
    <w:rsid w:val="000D4BC5"/>
    <w:rsid w:val="000E03AC"/>
    <w:rsid w:val="000E1209"/>
    <w:rsid w:val="000E71FC"/>
    <w:rsid w:val="000E7915"/>
    <w:rsid w:val="000F10F6"/>
    <w:rsid w:val="000F140D"/>
    <w:rsid w:val="000F168E"/>
    <w:rsid w:val="000F38D7"/>
    <w:rsid w:val="000F6E7C"/>
    <w:rsid w:val="00100174"/>
    <w:rsid w:val="001013E1"/>
    <w:rsid w:val="0010196F"/>
    <w:rsid w:val="001051AF"/>
    <w:rsid w:val="00106BA3"/>
    <w:rsid w:val="00110B1F"/>
    <w:rsid w:val="00110EDA"/>
    <w:rsid w:val="0011231F"/>
    <w:rsid w:val="00112EFC"/>
    <w:rsid w:val="001131EA"/>
    <w:rsid w:val="001165AD"/>
    <w:rsid w:val="00116EF3"/>
    <w:rsid w:val="00120A5E"/>
    <w:rsid w:val="0012340B"/>
    <w:rsid w:val="0012488E"/>
    <w:rsid w:val="00124B0D"/>
    <w:rsid w:val="00125024"/>
    <w:rsid w:val="00127C1E"/>
    <w:rsid w:val="00127FE8"/>
    <w:rsid w:val="00131D30"/>
    <w:rsid w:val="00132D90"/>
    <w:rsid w:val="0013365F"/>
    <w:rsid w:val="00134011"/>
    <w:rsid w:val="00135388"/>
    <w:rsid w:val="00135F93"/>
    <w:rsid w:val="00137744"/>
    <w:rsid w:val="00143294"/>
    <w:rsid w:val="00146AB9"/>
    <w:rsid w:val="001553F4"/>
    <w:rsid w:val="00167799"/>
    <w:rsid w:val="00167C8D"/>
    <w:rsid w:val="00170451"/>
    <w:rsid w:val="00173611"/>
    <w:rsid w:val="001738F0"/>
    <w:rsid w:val="00176F21"/>
    <w:rsid w:val="00182E04"/>
    <w:rsid w:val="001834A2"/>
    <w:rsid w:val="00186190"/>
    <w:rsid w:val="00192C0F"/>
    <w:rsid w:val="001A0C7A"/>
    <w:rsid w:val="001A281F"/>
    <w:rsid w:val="001A7D56"/>
    <w:rsid w:val="001B1730"/>
    <w:rsid w:val="001C1A51"/>
    <w:rsid w:val="001C58F1"/>
    <w:rsid w:val="001C6985"/>
    <w:rsid w:val="001D2C48"/>
    <w:rsid w:val="001D4042"/>
    <w:rsid w:val="001D458C"/>
    <w:rsid w:val="001D4EF4"/>
    <w:rsid w:val="001E31D7"/>
    <w:rsid w:val="001E5D98"/>
    <w:rsid w:val="001E6096"/>
    <w:rsid w:val="001F49A8"/>
    <w:rsid w:val="001F5524"/>
    <w:rsid w:val="00200AC1"/>
    <w:rsid w:val="00201963"/>
    <w:rsid w:val="00202030"/>
    <w:rsid w:val="00203BFF"/>
    <w:rsid w:val="002133F2"/>
    <w:rsid w:val="00213D09"/>
    <w:rsid w:val="00213D47"/>
    <w:rsid w:val="0021575D"/>
    <w:rsid w:val="0021711E"/>
    <w:rsid w:val="002202A8"/>
    <w:rsid w:val="00220E2D"/>
    <w:rsid w:val="002211FB"/>
    <w:rsid w:val="0022214B"/>
    <w:rsid w:val="002274D9"/>
    <w:rsid w:val="00230EA2"/>
    <w:rsid w:val="0023347E"/>
    <w:rsid w:val="002441C6"/>
    <w:rsid w:val="0024447C"/>
    <w:rsid w:val="002449A1"/>
    <w:rsid w:val="0024592F"/>
    <w:rsid w:val="00251642"/>
    <w:rsid w:val="00255140"/>
    <w:rsid w:val="00257E0D"/>
    <w:rsid w:val="002603A7"/>
    <w:rsid w:val="00261406"/>
    <w:rsid w:val="00261C11"/>
    <w:rsid w:val="00271BCB"/>
    <w:rsid w:val="00275270"/>
    <w:rsid w:val="0028056A"/>
    <w:rsid w:val="002852EE"/>
    <w:rsid w:val="00286D6A"/>
    <w:rsid w:val="0029179F"/>
    <w:rsid w:val="00292326"/>
    <w:rsid w:val="00295361"/>
    <w:rsid w:val="00296348"/>
    <w:rsid w:val="00297E1A"/>
    <w:rsid w:val="002A402F"/>
    <w:rsid w:val="002B38F6"/>
    <w:rsid w:val="002B61DD"/>
    <w:rsid w:val="002B7076"/>
    <w:rsid w:val="002C2028"/>
    <w:rsid w:val="002C229B"/>
    <w:rsid w:val="002C27D4"/>
    <w:rsid w:val="002C3134"/>
    <w:rsid w:val="002C6AEB"/>
    <w:rsid w:val="002C722D"/>
    <w:rsid w:val="002D04D0"/>
    <w:rsid w:val="002D30EE"/>
    <w:rsid w:val="002D76B2"/>
    <w:rsid w:val="002D7905"/>
    <w:rsid w:val="002D7B20"/>
    <w:rsid w:val="002E1476"/>
    <w:rsid w:val="002E3299"/>
    <w:rsid w:val="002E4985"/>
    <w:rsid w:val="002E64CC"/>
    <w:rsid w:val="002F04E4"/>
    <w:rsid w:val="002F1A53"/>
    <w:rsid w:val="002F3568"/>
    <w:rsid w:val="002F7AB9"/>
    <w:rsid w:val="0030157A"/>
    <w:rsid w:val="00302995"/>
    <w:rsid w:val="00303D3D"/>
    <w:rsid w:val="00314B46"/>
    <w:rsid w:val="0031712B"/>
    <w:rsid w:val="0032092A"/>
    <w:rsid w:val="00321528"/>
    <w:rsid w:val="00321717"/>
    <w:rsid w:val="00321D5F"/>
    <w:rsid w:val="003238C0"/>
    <w:rsid w:val="00330E7E"/>
    <w:rsid w:val="00330EF0"/>
    <w:rsid w:val="00333C15"/>
    <w:rsid w:val="00342D9D"/>
    <w:rsid w:val="00342E7E"/>
    <w:rsid w:val="003440CB"/>
    <w:rsid w:val="003504A0"/>
    <w:rsid w:val="00352A1D"/>
    <w:rsid w:val="00353816"/>
    <w:rsid w:val="00361CCF"/>
    <w:rsid w:val="00364A0C"/>
    <w:rsid w:val="003738EA"/>
    <w:rsid w:val="00375491"/>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4151"/>
    <w:rsid w:val="003B669C"/>
    <w:rsid w:val="003B786E"/>
    <w:rsid w:val="003C6EF7"/>
    <w:rsid w:val="003D092D"/>
    <w:rsid w:val="003D0F7B"/>
    <w:rsid w:val="003D0FE9"/>
    <w:rsid w:val="003D12FB"/>
    <w:rsid w:val="003D2BCE"/>
    <w:rsid w:val="003D4037"/>
    <w:rsid w:val="003D4529"/>
    <w:rsid w:val="003D4B46"/>
    <w:rsid w:val="003D5F48"/>
    <w:rsid w:val="003E01B3"/>
    <w:rsid w:val="003E3199"/>
    <w:rsid w:val="003E7DA0"/>
    <w:rsid w:val="003F050A"/>
    <w:rsid w:val="003F059B"/>
    <w:rsid w:val="003F50D1"/>
    <w:rsid w:val="003F5F88"/>
    <w:rsid w:val="0041273F"/>
    <w:rsid w:val="0042204E"/>
    <w:rsid w:val="00426325"/>
    <w:rsid w:val="00437A33"/>
    <w:rsid w:val="004469A3"/>
    <w:rsid w:val="0045270B"/>
    <w:rsid w:val="00454C45"/>
    <w:rsid w:val="004624BE"/>
    <w:rsid w:val="00463DED"/>
    <w:rsid w:val="00465A92"/>
    <w:rsid w:val="00465B50"/>
    <w:rsid w:val="004679CE"/>
    <w:rsid w:val="00470270"/>
    <w:rsid w:val="00471CBF"/>
    <w:rsid w:val="00472046"/>
    <w:rsid w:val="00475E73"/>
    <w:rsid w:val="0048136E"/>
    <w:rsid w:val="00481C76"/>
    <w:rsid w:val="00485AD1"/>
    <w:rsid w:val="00486AA5"/>
    <w:rsid w:val="004878DF"/>
    <w:rsid w:val="004932B6"/>
    <w:rsid w:val="004946E0"/>
    <w:rsid w:val="00495E6D"/>
    <w:rsid w:val="004A1602"/>
    <w:rsid w:val="004A51A8"/>
    <w:rsid w:val="004B49EE"/>
    <w:rsid w:val="004B4D89"/>
    <w:rsid w:val="004B516E"/>
    <w:rsid w:val="004C0E26"/>
    <w:rsid w:val="004C343D"/>
    <w:rsid w:val="004C5277"/>
    <w:rsid w:val="004C6632"/>
    <w:rsid w:val="004D2423"/>
    <w:rsid w:val="004D3884"/>
    <w:rsid w:val="004D5BBA"/>
    <w:rsid w:val="004E0748"/>
    <w:rsid w:val="004E728E"/>
    <w:rsid w:val="004F0AAB"/>
    <w:rsid w:val="004F23F6"/>
    <w:rsid w:val="004F47B7"/>
    <w:rsid w:val="004F743F"/>
    <w:rsid w:val="004F7C1B"/>
    <w:rsid w:val="00500A8F"/>
    <w:rsid w:val="005043E9"/>
    <w:rsid w:val="00505181"/>
    <w:rsid w:val="005060F9"/>
    <w:rsid w:val="005109DD"/>
    <w:rsid w:val="0051106C"/>
    <w:rsid w:val="00512BAE"/>
    <w:rsid w:val="00513DCA"/>
    <w:rsid w:val="00520C0E"/>
    <w:rsid w:val="00522EAE"/>
    <w:rsid w:val="00524D97"/>
    <w:rsid w:val="005250F2"/>
    <w:rsid w:val="00525703"/>
    <w:rsid w:val="005260BE"/>
    <w:rsid w:val="00527573"/>
    <w:rsid w:val="005326B5"/>
    <w:rsid w:val="005339BB"/>
    <w:rsid w:val="00535F08"/>
    <w:rsid w:val="00536F45"/>
    <w:rsid w:val="00537EE6"/>
    <w:rsid w:val="005447E3"/>
    <w:rsid w:val="00547E75"/>
    <w:rsid w:val="00555016"/>
    <w:rsid w:val="00555A60"/>
    <w:rsid w:val="00556212"/>
    <w:rsid w:val="005606AC"/>
    <w:rsid w:val="005631C7"/>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6D1A"/>
    <w:rsid w:val="005A31F5"/>
    <w:rsid w:val="005A39D7"/>
    <w:rsid w:val="005A65C8"/>
    <w:rsid w:val="005B5D60"/>
    <w:rsid w:val="005B69C2"/>
    <w:rsid w:val="005C27A1"/>
    <w:rsid w:val="005C67D4"/>
    <w:rsid w:val="005C7CC0"/>
    <w:rsid w:val="005D0683"/>
    <w:rsid w:val="005D6F09"/>
    <w:rsid w:val="005E00D6"/>
    <w:rsid w:val="005E035C"/>
    <w:rsid w:val="005E1A23"/>
    <w:rsid w:val="005E525F"/>
    <w:rsid w:val="005E5A41"/>
    <w:rsid w:val="005E674A"/>
    <w:rsid w:val="005E6E17"/>
    <w:rsid w:val="005F6112"/>
    <w:rsid w:val="00602232"/>
    <w:rsid w:val="00602E62"/>
    <w:rsid w:val="00606AA2"/>
    <w:rsid w:val="00606C4F"/>
    <w:rsid w:val="006107DC"/>
    <w:rsid w:val="0061228A"/>
    <w:rsid w:val="00617A76"/>
    <w:rsid w:val="00621ED0"/>
    <w:rsid w:val="00622238"/>
    <w:rsid w:val="00624BB2"/>
    <w:rsid w:val="006316FD"/>
    <w:rsid w:val="00632329"/>
    <w:rsid w:val="006361BC"/>
    <w:rsid w:val="00636A3C"/>
    <w:rsid w:val="00637AD1"/>
    <w:rsid w:val="00642CD5"/>
    <w:rsid w:val="006452B3"/>
    <w:rsid w:val="00645792"/>
    <w:rsid w:val="0066295A"/>
    <w:rsid w:val="00663035"/>
    <w:rsid w:val="00664055"/>
    <w:rsid w:val="00666CF9"/>
    <w:rsid w:val="00667457"/>
    <w:rsid w:val="00667A61"/>
    <w:rsid w:val="00670ED6"/>
    <w:rsid w:val="00673E32"/>
    <w:rsid w:val="006740B4"/>
    <w:rsid w:val="00674734"/>
    <w:rsid w:val="0067541F"/>
    <w:rsid w:val="006858D5"/>
    <w:rsid w:val="00687DBB"/>
    <w:rsid w:val="00696B1C"/>
    <w:rsid w:val="0069732D"/>
    <w:rsid w:val="006A2B5F"/>
    <w:rsid w:val="006A32C4"/>
    <w:rsid w:val="006A72B8"/>
    <w:rsid w:val="006B576E"/>
    <w:rsid w:val="006C1F05"/>
    <w:rsid w:val="006C2070"/>
    <w:rsid w:val="006D2A5B"/>
    <w:rsid w:val="006D5B15"/>
    <w:rsid w:val="006D5C62"/>
    <w:rsid w:val="006D642C"/>
    <w:rsid w:val="006E3A9C"/>
    <w:rsid w:val="006F038D"/>
    <w:rsid w:val="006F75B2"/>
    <w:rsid w:val="00700EA9"/>
    <w:rsid w:val="0070255A"/>
    <w:rsid w:val="00705BEF"/>
    <w:rsid w:val="00706179"/>
    <w:rsid w:val="007113DD"/>
    <w:rsid w:val="0071430B"/>
    <w:rsid w:val="00720659"/>
    <w:rsid w:val="0072201D"/>
    <w:rsid w:val="00725BDB"/>
    <w:rsid w:val="00733292"/>
    <w:rsid w:val="0073607E"/>
    <w:rsid w:val="00736663"/>
    <w:rsid w:val="007368D2"/>
    <w:rsid w:val="007423FD"/>
    <w:rsid w:val="0074285A"/>
    <w:rsid w:val="00756E5C"/>
    <w:rsid w:val="00757990"/>
    <w:rsid w:val="00760C7A"/>
    <w:rsid w:val="007619AD"/>
    <w:rsid w:val="00762330"/>
    <w:rsid w:val="007640E0"/>
    <w:rsid w:val="007652B1"/>
    <w:rsid w:val="00770616"/>
    <w:rsid w:val="00770E19"/>
    <w:rsid w:val="00772E22"/>
    <w:rsid w:val="0077332B"/>
    <w:rsid w:val="00774257"/>
    <w:rsid w:val="00775505"/>
    <w:rsid w:val="00776AE1"/>
    <w:rsid w:val="00785C31"/>
    <w:rsid w:val="00793276"/>
    <w:rsid w:val="007A01B4"/>
    <w:rsid w:val="007A03BE"/>
    <w:rsid w:val="007A07E5"/>
    <w:rsid w:val="007A136C"/>
    <w:rsid w:val="007A385D"/>
    <w:rsid w:val="007A3E79"/>
    <w:rsid w:val="007A463F"/>
    <w:rsid w:val="007A7362"/>
    <w:rsid w:val="007B0667"/>
    <w:rsid w:val="007B5A17"/>
    <w:rsid w:val="007B648A"/>
    <w:rsid w:val="007B7729"/>
    <w:rsid w:val="007C2153"/>
    <w:rsid w:val="007C66DE"/>
    <w:rsid w:val="007D0768"/>
    <w:rsid w:val="007D224F"/>
    <w:rsid w:val="007D62F3"/>
    <w:rsid w:val="007E0C8A"/>
    <w:rsid w:val="007E0E50"/>
    <w:rsid w:val="007E3816"/>
    <w:rsid w:val="007E513A"/>
    <w:rsid w:val="007F5700"/>
    <w:rsid w:val="007F79E2"/>
    <w:rsid w:val="00802548"/>
    <w:rsid w:val="00802957"/>
    <w:rsid w:val="00802B47"/>
    <w:rsid w:val="008062A9"/>
    <w:rsid w:val="00814AA6"/>
    <w:rsid w:val="008153A8"/>
    <w:rsid w:val="008267EE"/>
    <w:rsid w:val="0083050D"/>
    <w:rsid w:val="00832E9B"/>
    <w:rsid w:val="00833AB0"/>
    <w:rsid w:val="00834717"/>
    <w:rsid w:val="0084273E"/>
    <w:rsid w:val="008432ED"/>
    <w:rsid w:val="00843F7D"/>
    <w:rsid w:val="008450F3"/>
    <w:rsid w:val="00855260"/>
    <w:rsid w:val="00860271"/>
    <w:rsid w:val="0086227D"/>
    <w:rsid w:val="00863FEE"/>
    <w:rsid w:val="008653E0"/>
    <w:rsid w:val="008730BB"/>
    <w:rsid w:val="00880B5C"/>
    <w:rsid w:val="00881B05"/>
    <w:rsid w:val="00881CA9"/>
    <w:rsid w:val="00883821"/>
    <w:rsid w:val="0088500C"/>
    <w:rsid w:val="0088679A"/>
    <w:rsid w:val="0089014A"/>
    <w:rsid w:val="008902CF"/>
    <w:rsid w:val="008966E9"/>
    <w:rsid w:val="008B188A"/>
    <w:rsid w:val="008B4A3B"/>
    <w:rsid w:val="008B56E5"/>
    <w:rsid w:val="008B6065"/>
    <w:rsid w:val="008C1F77"/>
    <w:rsid w:val="008D1223"/>
    <w:rsid w:val="008D170A"/>
    <w:rsid w:val="008D3CFE"/>
    <w:rsid w:val="008D5E6C"/>
    <w:rsid w:val="008D7F16"/>
    <w:rsid w:val="008E08E2"/>
    <w:rsid w:val="008E160B"/>
    <w:rsid w:val="008E4534"/>
    <w:rsid w:val="008E54DB"/>
    <w:rsid w:val="008E7ACE"/>
    <w:rsid w:val="008F1045"/>
    <w:rsid w:val="009018E4"/>
    <w:rsid w:val="00903BED"/>
    <w:rsid w:val="00905613"/>
    <w:rsid w:val="00905BF1"/>
    <w:rsid w:val="009111B0"/>
    <w:rsid w:val="00913572"/>
    <w:rsid w:val="00915EF9"/>
    <w:rsid w:val="009171E7"/>
    <w:rsid w:val="00917662"/>
    <w:rsid w:val="00917A3B"/>
    <w:rsid w:val="0092087F"/>
    <w:rsid w:val="0092377F"/>
    <w:rsid w:val="009308D8"/>
    <w:rsid w:val="00930DF7"/>
    <w:rsid w:val="00936821"/>
    <w:rsid w:val="00936E5D"/>
    <w:rsid w:val="0094276A"/>
    <w:rsid w:val="00942C75"/>
    <w:rsid w:val="00951195"/>
    <w:rsid w:val="00952045"/>
    <w:rsid w:val="00952BA5"/>
    <w:rsid w:val="009554FB"/>
    <w:rsid w:val="00957EEC"/>
    <w:rsid w:val="00963696"/>
    <w:rsid w:val="009642E6"/>
    <w:rsid w:val="009645E2"/>
    <w:rsid w:val="00965CCC"/>
    <w:rsid w:val="00972BCD"/>
    <w:rsid w:val="0097304E"/>
    <w:rsid w:val="0097647D"/>
    <w:rsid w:val="00976B70"/>
    <w:rsid w:val="00983752"/>
    <w:rsid w:val="00983EF6"/>
    <w:rsid w:val="009927BE"/>
    <w:rsid w:val="00994EDE"/>
    <w:rsid w:val="009959F3"/>
    <w:rsid w:val="00995FFE"/>
    <w:rsid w:val="009A11C1"/>
    <w:rsid w:val="009A27F7"/>
    <w:rsid w:val="009A292D"/>
    <w:rsid w:val="009A4CAF"/>
    <w:rsid w:val="009A69B5"/>
    <w:rsid w:val="009B0D73"/>
    <w:rsid w:val="009B3167"/>
    <w:rsid w:val="009B34FA"/>
    <w:rsid w:val="009C020C"/>
    <w:rsid w:val="009C44ED"/>
    <w:rsid w:val="009C4A58"/>
    <w:rsid w:val="009C5700"/>
    <w:rsid w:val="009C5D67"/>
    <w:rsid w:val="009C5FEE"/>
    <w:rsid w:val="009C6763"/>
    <w:rsid w:val="009C698C"/>
    <w:rsid w:val="009C7A2D"/>
    <w:rsid w:val="009C7CE4"/>
    <w:rsid w:val="009D72F9"/>
    <w:rsid w:val="009E18AF"/>
    <w:rsid w:val="009E4A3B"/>
    <w:rsid w:val="009E5D88"/>
    <w:rsid w:val="009F0653"/>
    <w:rsid w:val="009F09C7"/>
    <w:rsid w:val="009F29A2"/>
    <w:rsid w:val="009F7FCB"/>
    <w:rsid w:val="00A00B17"/>
    <w:rsid w:val="00A01568"/>
    <w:rsid w:val="00A057AC"/>
    <w:rsid w:val="00A1042E"/>
    <w:rsid w:val="00A16D24"/>
    <w:rsid w:val="00A16E97"/>
    <w:rsid w:val="00A1794D"/>
    <w:rsid w:val="00A207E1"/>
    <w:rsid w:val="00A220C6"/>
    <w:rsid w:val="00A2358C"/>
    <w:rsid w:val="00A2663A"/>
    <w:rsid w:val="00A31C85"/>
    <w:rsid w:val="00A32C2E"/>
    <w:rsid w:val="00A33A9E"/>
    <w:rsid w:val="00A44B61"/>
    <w:rsid w:val="00A45DC2"/>
    <w:rsid w:val="00A5260B"/>
    <w:rsid w:val="00A61F62"/>
    <w:rsid w:val="00A623DF"/>
    <w:rsid w:val="00A669CF"/>
    <w:rsid w:val="00A67B5E"/>
    <w:rsid w:val="00A72E16"/>
    <w:rsid w:val="00A730D0"/>
    <w:rsid w:val="00A76003"/>
    <w:rsid w:val="00A76D78"/>
    <w:rsid w:val="00A83140"/>
    <w:rsid w:val="00A843DA"/>
    <w:rsid w:val="00A84830"/>
    <w:rsid w:val="00A96197"/>
    <w:rsid w:val="00AA2334"/>
    <w:rsid w:val="00AA4DC4"/>
    <w:rsid w:val="00AB05C6"/>
    <w:rsid w:val="00AB3244"/>
    <w:rsid w:val="00AB66D7"/>
    <w:rsid w:val="00AB694F"/>
    <w:rsid w:val="00AC32C6"/>
    <w:rsid w:val="00AD7BA1"/>
    <w:rsid w:val="00AE224E"/>
    <w:rsid w:val="00AF1933"/>
    <w:rsid w:val="00AF50E3"/>
    <w:rsid w:val="00AF5247"/>
    <w:rsid w:val="00AF6D2A"/>
    <w:rsid w:val="00AF78C6"/>
    <w:rsid w:val="00AF7CB4"/>
    <w:rsid w:val="00B00961"/>
    <w:rsid w:val="00B01ADE"/>
    <w:rsid w:val="00B06BA6"/>
    <w:rsid w:val="00B12237"/>
    <w:rsid w:val="00B12F3C"/>
    <w:rsid w:val="00B133E0"/>
    <w:rsid w:val="00B22EB0"/>
    <w:rsid w:val="00B24FF7"/>
    <w:rsid w:val="00B2543C"/>
    <w:rsid w:val="00B26192"/>
    <w:rsid w:val="00B262CD"/>
    <w:rsid w:val="00B316D1"/>
    <w:rsid w:val="00B33C5E"/>
    <w:rsid w:val="00B40A66"/>
    <w:rsid w:val="00B41090"/>
    <w:rsid w:val="00B50CF4"/>
    <w:rsid w:val="00B57B39"/>
    <w:rsid w:val="00B60E9C"/>
    <w:rsid w:val="00B6632A"/>
    <w:rsid w:val="00B67C18"/>
    <w:rsid w:val="00B74F9C"/>
    <w:rsid w:val="00B769E3"/>
    <w:rsid w:val="00B801E0"/>
    <w:rsid w:val="00B80489"/>
    <w:rsid w:val="00B807FD"/>
    <w:rsid w:val="00B83422"/>
    <w:rsid w:val="00B841C1"/>
    <w:rsid w:val="00B8765A"/>
    <w:rsid w:val="00B87D41"/>
    <w:rsid w:val="00B955B3"/>
    <w:rsid w:val="00BA15F6"/>
    <w:rsid w:val="00BA63ED"/>
    <w:rsid w:val="00BA7431"/>
    <w:rsid w:val="00BB0CAA"/>
    <w:rsid w:val="00BB11A8"/>
    <w:rsid w:val="00BB2026"/>
    <w:rsid w:val="00BB3784"/>
    <w:rsid w:val="00BC1BD9"/>
    <w:rsid w:val="00BC3B43"/>
    <w:rsid w:val="00BC52DF"/>
    <w:rsid w:val="00BC5535"/>
    <w:rsid w:val="00BD0BB7"/>
    <w:rsid w:val="00BD1289"/>
    <w:rsid w:val="00BD6A1A"/>
    <w:rsid w:val="00BE02A7"/>
    <w:rsid w:val="00BE2788"/>
    <w:rsid w:val="00BE67A2"/>
    <w:rsid w:val="00BE6F4C"/>
    <w:rsid w:val="00BE7E70"/>
    <w:rsid w:val="00BF460C"/>
    <w:rsid w:val="00BF5F9C"/>
    <w:rsid w:val="00C02F99"/>
    <w:rsid w:val="00C03770"/>
    <w:rsid w:val="00C05D8E"/>
    <w:rsid w:val="00C06B20"/>
    <w:rsid w:val="00C06CBE"/>
    <w:rsid w:val="00C123C3"/>
    <w:rsid w:val="00C126DF"/>
    <w:rsid w:val="00C15DBB"/>
    <w:rsid w:val="00C31E3B"/>
    <w:rsid w:val="00C369C9"/>
    <w:rsid w:val="00C444EA"/>
    <w:rsid w:val="00C50DF8"/>
    <w:rsid w:val="00C5114A"/>
    <w:rsid w:val="00C55BB5"/>
    <w:rsid w:val="00C6019E"/>
    <w:rsid w:val="00C64953"/>
    <w:rsid w:val="00C65B28"/>
    <w:rsid w:val="00C745E3"/>
    <w:rsid w:val="00C75C2E"/>
    <w:rsid w:val="00C766EF"/>
    <w:rsid w:val="00C773FC"/>
    <w:rsid w:val="00C807AA"/>
    <w:rsid w:val="00C80EE6"/>
    <w:rsid w:val="00C817A7"/>
    <w:rsid w:val="00C861B2"/>
    <w:rsid w:val="00C86975"/>
    <w:rsid w:val="00C92958"/>
    <w:rsid w:val="00CA2A8B"/>
    <w:rsid w:val="00CA65E9"/>
    <w:rsid w:val="00CB4339"/>
    <w:rsid w:val="00CB49F9"/>
    <w:rsid w:val="00CB6A55"/>
    <w:rsid w:val="00CC06D4"/>
    <w:rsid w:val="00CC06FA"/>
    <w:rsid w:val="00CC1890"/>
    <w:rsid w:val="00CC33CC"/>
    <w:rsid w:val="00CC480B"/>
    <w:rsid w:val="00CC72C5"/>
    <w:rsid w:val="00CC7310"/>
    <w:rsid w:val="00CD332E"/>
    <w:rsid w:val="00CD41C2"/>
    <w:rsid w:val="00CD521B"/>
    <w:rsid w:val="00CE06FC"/>
    <w:rsid w:val="00CE4335"/>
    <w:rsid w:val="00CE665F"/>
    <w:rsid w:val="00CF197E"/>
    <w:rsid w:val="00CF5040"/>
    <w:rsid w:val="00D03331"/>
    <w:rsid w:val="00D073EA"/>
    <w:rsid w:val="00D07CF0"/>
    <w:rsid w:val="00D12776"/>
    <w:rsid w:val="00D12D35"/>
    <w:rsid w:val="00D2092D"/>
    <w:rsid w:val="00D31AFE"/>
    <w:rsid w:val="00D332D6"/>
    <w:rsid w:val="00D346FC"/>
    <w:rsid w:val="00D35444"/>
    <w:rsid w:val="00D3691D"/>
    <w:rsid w:val="00D371C4"/>
    <w:rsid w:val="00D41ADE"/>
    <w:rsid w:val="00D471D1"/>
    <w:rsid w:val="00D50E81"/>
    <w:rsid w:val="00D56A55"/>
    <w:rsid w:val="00D60EC2"/>
    <w:rsid w:val="00D634D8"/>
    <w:rsid w:val="00D63C2D"/>
    <w:rsid w:val="00D651FF"/>
    <w:rsid w:val="00D65A32"/>
    <w:rsid w:val="00D71DEB"/>
    <w:rsid w:val="00D73882"/>
    <w:rsid w:val="00D80609"/>
    <w:rsid w:val="00D82BB6"/>
    <w:rsid w:val="00D96CBF"/>
    <w:rsid w:val="00DA100A"/>
    <w:rsid w:val="00DA2084"/>
    <w:rsid w:val="00DA25AD"/>
    <w:rsid w:val="00DA4F61"/>
    <w:rsid w:val="00DA73E5"/>
    <w:rsid w:val="00DB0090"/>
    <w:rsid w:val="00DB1679"/>
    <w:rsid w:val="00DB5927"/>
    <w:rsid w:val="00DC2F1C"/>
    <w:rsid w:val="00DC2F84"/>
    <w:rsid w:val="00DC44EE"/>
    <w:rsid w:val="00DC4BA2"/>
    <w:rsid w:val="00DD4C8D"/>
    <w:rsid w:val="00DD7FB4"/>
    <w:rsid w:val="00DE477C"/>
    <w:rsid w:val="00DE7CB6"/>
    <w:rsid w:val="00DF1C7E"/>
    <w:rsid w:val="00DF269B"/>
    <w:rsid w:val="00DF4AB0"/>
    <w:rsid w:val="00DF66EE"/>
    <w:rsid w:val="00DF6776"/>
    <w:rsid w:val="00DF6B22"/>
    <w:rsid w:val="00E00245"/>
    <w:rsid w:val="00E00371"/>
    <w:rsid w:val="00E07A31"/>
    <w:rsid w:val="00E166BE"/>
    <w:rsid w:val="00E17346"/>
    <w:rsid w:val="00E21BE2"/>
    <w:rsid w:val="00E22994"/>
    <w:rsid w:val="00E23047"/>
    <w:rsid w:val="00E23270"/>
    <w:rsid w:val="00E24EE3"/>
    <w:rsid w:val="00E309FD"/>
    <w:rsid w:val="00E403D4"/>
    <w:rsid w:val="00E40561"/>
    <w:rsid w:val="00E414F9"/>
    <w:rsid w:val="00E50150"/>
    <w:rsid w:val="00E5049F"/>
    <w:rsid w:val="00E504D8"/>
    <w:rsid w:val="00E61308"/>
    <w:rsid w:val="00E61E70"/>
    <w:rsid w:val="00E64653"/>
    <w:rsid w:val="00E64D3E"/>
    <w:rsid w:val="00E67E38"/>
    <w:rsid w:val="00E76995"/>
    <w:rsid w:val="00E80E43"/>
    <w:rsid w:val="00E8311C"/>
    <w:rsid w:val="00E879A7"/>
    <w:rsid w:val="00E87A04"/>
    <w:rsid w:val="00E922B4"/>
    <w:rsid w:val="00E94534"/>
    <w:rsid w:val="00E97970"/>
    <w:rsid w:val="00EA4003"/>
    <w:rsid w:val="00EB0151"/>
    <w:rsid w:val="00EB2B49"/>
    <w:rsid w:val="00EB5B3E"/>
    <w:rsid w:val="00EB7ED2"/>
    <w:rsid w:val="00EC43C8"/>
    <w:rsid w:val="00ED1806"/>
    <w:rsid w:val="00ED205C"/>
    <w:rsid w:val="00ED36BD"/>
    <w:rsid w:val="00ED3F02"/>
    <w:rsid w:val="00ED457C"/>
    <w:rsid w:val="00EE0709"/>
    <w:rsid w:val="00EE0B92"/>
    <w:rsid w:val="00EE0F0E"/>
    <w:rsid w:val="00EE2860"/>
    <w:rsid w:val="00EE68D2"/>
    <w:rsid w:val="00EF14B7"/>
    <w:rsid w:val="00EF44AD"/>
    <w:rsid w:val="00F014F8"/>
    <w:rsid w:val="00F13937"/>
    <w:rsid w:val="00F17267"/>
    <w:rsid w:val="00F22886"/>
    <w:rsid w:val="00F27587"/>
    <w:rsid w:val="00F307F9"/>
    <w:rsid w:val="00F3131F"/>
    <w:rsid w:val="00F32538"/>
    <w:rsid w:val="00F32FBC"/>
    <w:rsid w:val="00F34A00"/>
    <w:rsid w:val="00F34D93"/>
    <w:rsid w:val="00F35515"/>
    <w:rsid w:val="00F4389F"/>
    <w:rsid w:val="00F62AEB"/>
    <w:rsid w:val="00F66A6D"/>
    <w:rsid w:val="00F707BD"/>
    <w:rsid w:val="00F72010"/>
    <w:rsid w:val="00F7477C"/>
    <w:rsid w:val="00F76428"/>
    <w:rsid w:val="00F77798"/>
    <w:rsid w:val="00F77B4D"/>
    <w:rsid w:val="00F820F7"/>
    <w:rsid w:val="00F83A44"/>
    <w:rsid w:val="00F85C22"/>
    <w:rsid w:val="00F86B12"/>
    <w:rsid w:val="00F87AC6"/>
    <w:rsid w:val="00F9085A"/>
    <w:rsid w:val="00F91B05"/>
    <w:rsid w:val="00F94E53"/>
    <w:rsid w:val="00F979AC"/>
    <w:rsid w:val="00FA38C3"/>
    <w:rsid w:val="00FA6353"/>
    <w:rsid w:val="00FB32DE"/>
    <w:rsid w:val="00FB3ADA"/>
    <w:rsid w:val="00FB7A50"/>
    <w:rsid w:val="00FC0DF5"/>
    <w:rsid w:val="00FC44B5"/>
    <w:rsid w:val="00FC6127"/>
    <w:rsid w:val="00FC7A4D"/>
    <w:rsid w:val="00FD08A0"/>
    <w:rsid w:val="00FD1F63"/>
    <w:rsid w:val="00FD2E42"/>
    <w:rsid w:val="00FD4AA6"/>
    <w:rsid w:val="00FE2B9E"/>
    <w:rsid w:val="00FE6123"/>
    <w:rsid w:val="00FE6555"/>
    <w:rsid w:val="00FE6E03"/>
    <w:rsid w:val="00FF51E1"/>
    <w:rsid w:val="00FF5862"/>
    <w:rsid w:val="52A564D5"/>
    <w:rsid w:val="56B246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1"/>
    <w:qFormat/>
    <w:uiPriority w:val="0"/>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Hyperlink"/>
    <w:uiPriority w:val="0"/>
    <w:rPr>
      <w:color w:val="0068B7"/>
      <w:u w:val="none"/>
    </w:rPr>
  </w:style>
  <w:style w:type="character" w:styleId="15">
    <w:name w:val="annotation reference"/>
    <w:basedOn w:val="12"/>
    <w:qFormat/>
    <w:uiPriority w:val="0"/>
    <w:rPr>
      <w:sz w:val="21"/>
      <w:szCs w:val="21"/>
    </w:rPr>
  </w:style>
  <w:style w:type="character" w:customStyle="1" w:styleId="16">
    <w:name w:val="141"/>
    <w:uiPriority w:val="0"/>
    <w:rPr>
      <w:sz w:val="21"/>
      <w:szCs w:val="21"/>
    </w:rPr>
  </w:style>
  <w:style w:type="character" w:customStyle="1" w:styleId="17">
    <w:name w:val="ztag pre"/>
    <w:basedOn w:val="12"/>
    <w:qFormat/>
    <w:uiPriority w:val="0"/>
  </w:style>
  <w:style w:type="character" w:customStyle="1" w:styleId="18">
    <w:name w:val="已访问的超链接1"/>
    <w:qFormat/>
    <w:uiPriority w:val="0"/>
    <w:rPr>
      <w:color w:val="800080"/>
      <w:u w:val="single"/>
    </w:rPr>
  </w:style>
  <w:style w:type="paragraph" w:styleId="19">
    <w:name w:val="List Paragraph"/>
    <w:basedOn w:val="1"/>
    <w:qFormat/>
    <w:uiPriority w:val="34"/>
    <w:pPr>
      <w:ind w:firstLine="420" w:firstLineChars="200"/>
    </w:pPr>
  </w:style>
  <w:style w:type="character" w:customStyle="1" w:styleId="20">
    <w:name w:val="批注文字 字符"/>
    <w:basedOn w:val="12"/>
    <w:link w:val="3"/>
    <w:qFormat/>
    <w:uiPriority w:val="0"/>
    <w:rPr>
      <w:kern w:val="2"/>
      <w:sz w:val="21"/>
      <w:szCs w:val="24"/>
    </w:rPr>
  </w:style>
  <w:style w:type="character" w:customStyle="1" w:styleId="21">
    <w:name w:val="批注主题 字符"/>
    <w:basedOn w:val="20"/>
    <w:link w:val="9"/>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D92A6E4-1D74-4CBE-8912-D697F10924BE}">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Pages>
  <Words>406</Words>
  <Characters>2316</Characters>
  <Lines>19</Lines>
  <Paragraphs>5</Paragraphs>
  <TotalTime>0</TotalTime>
  <ScaleCrop>false</ScaleCrop>
  <LinksUpToDate>false</LinksUpToDate>
  <CharactersWithSpaces>2717</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2019-06-19T06:53:00Z</dcterms:created>
  <dc:creator>全美国际教育协会</dc:creator>
  <cp:lastModifiedBy>Julia</cp:lastModifiedBy>
  <cp:lastPrinted>2011-12-16T08:54:00Z</cp:lastPrinted>
  <dcterms:modified xsi:type="dcterms:W3CDTF">2019-12-27T03:00:05Z</dcterms:modified>
  <dc:title>加州大学河滨分校短期访学项目</dc:title>
  <cp:revision>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