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广东财经大学-西澳大学2+2+1.5商科类</w:t>
      </w:r>
    </w:p>
    <w:p>
      <w:pPr>
        <w:jc w:val="center"/>
        <w:rPr>
          <w:rFonts w:hint="eastAsia"/>
          <w:b/>
          <w:bCs/>
          <w:sz w:val="36"/>
          <w:szCs w:val="36"/>
        </w:rPr>
      </w:pPr>
      <w:r>
        <w:rPr>
          <w:rFonts w:hint="eastAsia"/>
          <w:b/>
          <w:bCs/>
          <w:sz w:val="36"/>
          <w:szCs w:val="36"/>
        </w:rPr>
        <w:t>本硕连读联合培养项目</w:t>
      </w:r>
    </w:p>
    <w:p>
      <w:pPr>
        <w:jc w:val="center"/>
        <w:rPr>
          <w:rFonts w:hint="eastAsia"/>
          <w:sz w:val="24"/>
          <w:szCs w:val="24"/>
        </w:rPr>
      </w:pPr>
    </w:p>
    <w:p>
      <w:pPr>
        <w:rPr>
          <w:rFonts w:hint="eastAsia"/>
          <w:b/>
          <w:bCs/>
          <w:color w:val="4472C4" w:themeColor="accent5"/>
          <w:sz w:val="24"/>
          <w:szCs w:val="24"/>
          <w14:textFill>
            <w14:solidFill>
              <w14:schemeClr w14:val="accent5"/>
            </w14:solidFill>
          </w14:textFill>
        </w:rPr>
      </w:pPr>
      <w:r>
        <w:rPr>
          <w:rFonts w:hint="eastAsia"/>
          <w:b/>
          <w:bCs/>
          <w:color w:val="4472C4" w:themeColor="accent5"/>
          <w:sz w:val="24"/>
          <w:szCs w:val="24"/>
          <w14:textFill>
            <w14:solidFill>
              <w14:schemeClr w14:val="accent5"/>
            </w14:solidFill>
          </w14:textFill>
        </w:rPr>
        <w:t>西澳大学简介：</w:t>
      </w:r>
    </w:p>
    <w:p>
      <w:pPr>
        <w:ind w:firstLine="420" w:firstLineChars="200"/>
        <w:rPr>
          <w:b w:val="0"/>
          <w:bCs w:val="0"/>
          <w:color w:val="auto"/>
          <w:sz w:val="24"/>
        </w:rPr>
      </w:pPr>
      <w:r>
        <w:drawing>
          <wp:anchor distT="0" distB="0" distL="114300" distR="114300" simplePos="0" relativeHeight="251659264" behindDoc="0" locked="0" layoutInCell="1" allowOverlap="1">
            <wp:simplePos x="0" y="0"/>
            <wp:positionH relativeFrom="column">
              <wp:posOffset>-35560</wp:posOffset>
            </wp:positionH>
            <wp:positionV relativeFrom="paragraph">
              <wp:posOffset>1101725</wp:posOffset>
            </wp:positionV>
            <wp:extent cx="5253355" cy="1056640"/>
            <wp:effectExtent l="0" t="0" r="4445" b="1016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rcRect b="48941"/>
                    <a:stretch>
                      <a:fillRect/>
                    </a:stretch>
                  </pic:blipFill>
                  <pic:spPr>
                    <a:xfrm>
                      <a:off x="0" y="0"/>
                      <a:ext cx="5253355" cy="1056640"/>
                    </a:xfrm>
                    <a:prstGeom prst="rect">
                      <a:avLst/>
                    </a:prstGeom>
                    <a:noFill/>
                    <a:ln>
                      <a:noFill/>
                    </a:ln>
                  </pic:spPr>
                </pic:pic>
              </a:graphicData>
            </a:graphic>
          </wp:anchor>
        </w:drawing>
      </w:r>
      <w:r>
        <w:rPr>
          <w:sz w:val="24"/>
          <w:szCs w:val="24"/>
        </w:rPr>
        <w:t>西澳大学创建于</w:t>
      </w:r>
      <w:r>
        <w:rPr>
          <w:rFonts w:hint="eastAsia"/>
          <w:sz w:val="24"/>
          <w:szCs w:val="24"/>
        </w:rPr>
        <w:t>1</w:t>
      </w:r>
      <w:r>
        <w:rPr>
          <w:sz w:val="24"/>
          <w:szCs w:val="24"/>
        </w:rPr>
        <w:t>911年</w:t>
      </w:r>
      <w:r>
        <w:rPr>
          <w:rFonts w:hint="eastAsia"/>
          <w:sz w:val="24"/>
          <w:szCs w:val="24"/>
        </w:rPr>
        <w:t>，</w:t>
      </w:r>
      <w:r>
        <w:rPr>
          <w:sz w:val="24"/>
          <w:szCs w:val="24"/>
        </w:rPr>
        <w:t>位于西澳大利亚州首府珀斯</w:t>
      </w:r>
      <w:r>
        <w:rPr>
          <w:rFonts w:hint="eastAsia"/>
          <w:sz w:val="24"/>
          <w:szCs w:val="24"/>
        </w:rPr>
        <w:t>，</w:t>
      </w:r>
      <w:r>
        <w:rPr>
          <w:sz w:val="24"/>
          <w:szCs w:val="24"/>
        </w:rPr>
        <w:t>是澳大利亚最具历史性</w:t>
      </w:r>
      <w:r>
        <w:rPr>
          <w:rFonts w:hint="eastAsia"/>
          <w:sz w:val="24"/>
          <w:szCs w:val="24"/>
        </w:rPr>
        <w:t>、</w:t>
      </w:r>
      <w:r>
        <w:rPr>
          <w:sz w:val="24"/>
          <w:szCs w:val="24"/>
        </w:rPr>
        <w:t>代表性和综合实力的顶尖研究型学府之一</w:t>
      </w:r>
      <w:r>
        <w:rPr>
          <w:rFonts w:hint="eastAsia"/>
          <w:sz w:val="24"/>
          <w:szCs w:val="24"/>
        </w:rPr>
        <w:t>，</w:t>
      </w:r>
      <w:r>
        <w:rPr>
          <w:sz w:val="24"/>
          <w:szCs w:val="24"/>
        </w:rPr>
        <w:t>也是享有盛誉的澳大利亚八大名校与世界大学联盟的成员之一</w:t>
      </w:r>
      <w:r>
        <w:rPr>
          <w:rFonts w:hint="eastAsia"/>
          <w:sz w:val="24"/>
          <w:szCs w:val="24"/>
        </w:rPr>
        <w:t>，</w:t>
      </w:r>
      <w:r>
        <w:rPr>
          <w:sz w:val="24"/>
          <w:szCs w:val="24"/>
        </w:rPr>
        <w:t>在</w:t>
      </w:r>
      <w:r>
        <w:rPr>
          <w:rFonts w:hint="eastAsia"/>
          <w:sz w:val="24"/>
          <w:szCs w:val="24"/>
        </w:rPr>
        <w:t>Q</w:t>
      </w:r>
      <w:r>
        <w:rPr>
          <w:sz w:val="24"/>
          <w:szCs w:val="24"/>
        </w:rPr>
        <w:t>S世界大学排行榜最新发布</w:t>
      </w:r>
      <w:r>
        <w:rPr>
          <w:rFonts w:hint="eastAsia"/>
          <w:sz w:val="24"/>
          <w:szCs w:val="24"/>
        </w:rPr>
        <w:t>2</w:t>
      </w:r>
      <w:r>
        <w:rPr>
          <w:sz w:val="24"/>
          <w:szCs w:val="24"/>
        </w:rPr>
        <w:t>019</w:t>
      </w:r>
      <w:r>
        <w:rPr>
          <w:rFonts w:hint="eastAsia"/>
          <w:sz w:val="24"/>
          <w:szCs w:val="24"/>
        </w:rPr>
        <w:t>-</w:t>
      </w:r>
      <w:r>
        <w:rPr>
          <w:sz w:val="24"/>
          <w:szCs w:val="24"/>
        </w:rPr>
        <w:t>2020年的世界大学排名中</w:t>
      </w:r>
      <w:r>
        <w:rPr>
          <w:rFonts w:hint="eastAsia"/>
          <w:sz w:val="24"/>
          <w:szCs w:val="24"/>
        </w:rPr>
        <w:t>，</w:t>
      </w:r>
      <w:r>
        <w:rPr>
          <w:sz w:val="24"/>
          <w:szCs w:val="24"/>
        </w:rPr>
        <w:t>西澳大学位列世界第</w:t>
      </w:r>
      <w:r>
        <w:rPr>
          <w:rFonts w:hint="eastAsia"/>
          <w:sz w:val="24"/>
          <w:szCs w:val="24"/>
        </w:rPr>
        <w:t>8</w:t>
      </w:r>
      <w:r>
        <w:rPr>
          <w:sz w:val="24"/>
          <w:szCs w:val="24"/>
        </w:rPr>
        <w:t>6位</w:t>
      </w:r>
      <w:r>
        <w:rPr>
          <w:rFonts w:hint="eastAsia"/>
          <w:sz w:val="24"/>
          <w:szCs w:val="24"/>
        </w:rPr>
        <w:t>。</w:t>
      </w:r>
      <w:r>
        <w:rPr>
          <w:rFonts w:hint="eastAsia"/>
          <w:b w:val="0"/>
          <w:bCs w:val="0"/>
          <w:color w:val="auto"/>
          <w:sz w:val="24"/>
          <w:szCs w:val="24"/>
          <w:lang w:eastAsia="zh-CN"/>
        </w:rPr>
        <w:t>在</w:t>
      </w:r>
      <w:r>
        <w:rPr>
          <w:rFonts w:hint="eastAsia"/>
          <w:b w:val="0"/>
          <w:bCs w:val="0"/>
          <w:color w:val="auto"/>
          <w:sz w:val="24"/>
          <w:szCs w:val="24"/>
          <w:lang w:val="en-US" w:eastAsia="zh-CN"/>
        </w:rPr>
        <w:t>2021年US News全球最佳大学排名位列第79位。</w:t>
      </w:r>
    </w:p>
    <w:p>
      <w:pPr>
        <w:ind w:firstLine="480" w:firstLineChars="200"/>
        <w:rPr>
          <w:rFonts w:hint="eastAsia"/>
          <w:sz w:val="24"/>
          <w:szCs w:val="24"/>
        </w:rPr>
      </w:pPr>
      <w:r>
        <w:rPr>
          <w:rFonts w:hint="eastAsia"/>
          <w:sz w:val="24"/>
          <w:szCs w:val="24"/>
        </w:rPr>
        <w:t>西澳大学在教学、科研等方面均处于世界领先水平，现已培养了1名诺贝尔奖得主、近100名罗兹学术奖得主和1位澳大利亚总理</w:t>
      </w:r>
      <w:r>
        <w:rPr>
          <w:rFonts w:hint="eastAsia"/>
          <w:sz w:val="24"/>
          <w:szCs w:val="24"/>
          <w:lang w:eastAsia="zh-CN"/>
        </w:rPr>
        <w:t>及多位行业佼佼者，包括</w:t>
      </w:r>
      <w:r>
        <w:rPr>
          <w:rFonts w:hint="eastAsia" w:ascii="宋体" w:hAnsi="宋体" w:eastAsia="宋体" w:cs="宋体"/>
          <w:b w:val="0"/>
          <w:bCs w:val="0"/>
          <w:sz w:val="24"/>
          <w:szCs w:val="24"/>
          <w:highlight w:val="none"/>
          <w:lang w:eastAsia="zh-CN"/>
        </w:rPr>
        <w:t>澳大利亚麦格里集团西澳部主席Mark Barnaba世界经济论坛卓越运营Victoria Mallinckrodt Cribbler合伙创办人与首席运行官Jasmin Ward前西农集团总经理与首席执行官Richard Goyder等</w:t>
      </w:r>
      <w:r>
        <w:rPr>
          <w:rFonts w:hint="eastAsia"/>
          <w:sz w:val="24"/>
          <w:szCs w:val="24"/>
        </w:rPr>
        <w:t>；</w:t>
      </w:r>
      <w:r>
        <w:rPr>
          <w:rFonts w:hint="eastAsia"/>
          <w:sz w:val="24"/>
          <w:szCs w:val="24"/>
          <w:lang w:eastAsia="zh-CN"/>
        </w:rPr>
        <w:t>其</w:t>
      </w:r>
      <w:r>
        <w:rPr>
          <w:rFonts w:hint="eastAsia"/>
          <w:sz w:val="24"/>
          <w:szCs w:val="24"/>
        </w:rPr>
        <w:t>商学院获AACSB及EQUIS双重认证（全球仅有不到5%的商学院获该殊荣），学生在澳期间可享用哈佛大学商学院的学术教育平台资源。</w:t>
      </w:r>
    </w:p>
    <w:p>
      <w:pPr>
        <w:rPr>
          <w:rFonts w:hint="eastAsia" w:eastAsiaTheme="minorEastAsia"/>
          <w:sz w:val="24"/>
          <w:lang w:eastAsia="zh-CN"/>
        </w:rPr>
      </w:pPr>
      <w:r>
        <w:rPr>
          <w:rFonts w:hint="eastAsia" w:eastAsiaTheme="minorEastAsia"/>
          <w:sz w:val="24"/>
          <w:lang w:eastAsia="zh-CN"/>
        </w:rPr>
        <w:drawing>
          <wp:inline distT="0" distB="0" distL="114300" distR="114300">
            <wp:extent cx="5262245" cy="3505200"/>
            <wp:effectExtent l="0" t="0" r="14605" b="0"/>
            <wp:docPr id="3" name="图片 3" descr="reflections-at-u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reflections-at-uwa"/>
                    <pic:cNvPicPr>
                      <a:picLocks noChangeAspect="1"/>
                    </pic:cNvPicPr>
                  </pic:nvPicPr>
                  <pic:blipFill>
                    <a:blip r:embed="rId5"/>
                    <a:stretch>
                      <a:fillRect/>
                    </a:stretch>
                  </pic:blipFill>
                  <pic:spPr>
                    <a:xfrm>
                      <a:off x="0" y="0"/>
                      <a:ext cx="5262245" cy="3505200"/>
                    </a:xfrm>
                    <a:prstGeom prst="rect">
                      <a:avLst/>
                    </a:prstGeom>
                  </pic:spPr>
                </pic:pic>
              </a:graphicData>
            </a:graphic>
          </wp:inline>
        </w:drawing>
      </w:r>
    </w:p>
    <w:p>
      <w:pPr>
        <w:jc w:val="center"/>
        <w:rPr>
          <w:rFonts w:hint="eastAsia" w:eastAsiaTheme="minorEastAsia"/>
          <w:sz w:val="24"/>
          <w:lang w:eastAsia="zh-CN"/>
        </w:rPr>
      </w:pPr>
      <w:r>
        <w:rPr>
          <w:rFonts w:hint="eastAsia"/>
          <w:sz w:val="21"/>
          <w:szCs w:val="21"/>
          <w:lang w:eastAsia="zh-CN"/>
        </w:rPr>
        <w:t>西澳大学校园照片</w:t>
      </w:r>
    </w:p>
    <w:p>
      <w:pPr>
        <w:rPr>
          <w:rFonts w:hint="eastAsia"/>
          <w:sz w:val="24"/>
          <w:szCs w:val="24"/>
        </w:rPr>
      </w:pPr>
    </w:p>
    <w:p>
      <w:pPr>
        <w:ind w:firstLine="480" w:firstLineChars="200"/>
        <w:rPr>
          <w:rFonts w:hint="eastAsia"/>
          <w:b w:val="0"/>
          <w:i w:val="0"/>
          <w:caps w:val="0"/>
          <w:color w:val="000000" w:themeColor="text1"/>
          <w:spacing w:val="0"/>
          <w:sz w:val="24"/>
          <w:szCs w:val="24"/>
          <w14:textFill>
            <w14:solidFill>
              <w14:schemeClr w14:val="tx1"/>
            </w14:solidFill>
          </w14:textFill>
        </w:rPr>
      </w:pPr>
      <w:r>
        <w:rPr>
          <w:rFonts w:hint="eastAsia"/>
          <w:b w:val="0"/>
          <w:i w:val="0"/>
          <w:caps w:val="0"/>
          <w:color w:val="000000" w:themeColor="text1"/>
          <w:spacing w:val="0"/>
          <w:sz w:val="24"/>
          <w:szCs w:val="24"/>
          <w14:textFill>
            <w14:solidFill>
              <w14:schemeClr w14:val="tx1"/>
            </w14:solidFill>
          </w14:textFill>
        </w:rPr>
        <w:t>西澳大学拥有先进完善的配套设施，其中包括专题图书馆，充足的研究资源，更有健身房、篮球场、泳池等体育设备提供给学生使用。其商学院的金融交易室更是获得了在伦敦的年度国际视听奖上获得了“年度教育项目奖”，让学生们专享世界级的学习资源，它使学生能够从澳大利亚股票交易所、纽约证券交易所、伦敦证券交易所和芝加哥商业交易所等金融机构获得的超过400个全球市场和超过400万千兆字节的历史性市场数据，并涵盖超过3500万种来自股票、债券、货币、大宗商品和衍生品的金融工具。</w:t>
      </w:r>
    </w:p>
    <w:p>
      <w:pPr>
        <w:rPr>
          <w:rFonts w:hint="eastAsia" w:eastAsiaTheme="minorEastAsia"/>
          <w:color w:val="000000" w:themeColor="text1"/>
          <w:sz w:val="24"/>
          <w:lang w:eastAsia="zh-CN"/>
          <w14:textFill>
            <w14:solidFill>
              <w14:schemeClr w14:val="tx1"/>
            </w14:solidFill>
          </w14:textFill>
        </w:rPr>
      </w:pPr>
      <w:r>
        <w:rPr>
          <w:rFonts w:hint="eastAsia" w:eastAsiaTheme="minorEastAsia"/>
          <w:color w:val="000000" w:themeColor="text1"/>
          <w:sz w:val="24"/>
          <w:lang w:eastAsia="zh-CN"/>
          <w14:textFill>
            <w14:solidFill>
              <w14:schemeClr w14:val="tx1"/>
            </w14:solidFill>
          </w14:textFill>
        </w:rPr>
        <w:drawing>
          <wp:inline distT="0" distB="0" distL="114300" distR="114300">
            <wp:extent cx="5268595" cy="3511550"/>
            <wp:effectExtent l="0" t="0" r="8255" b="12700"/>
            <wp:docPr id="1" name="图片 1" descr="Trading-Ro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rading-Room-2"/>
                    <pic:cNvPicPr>
                      <a:picLocks noChangeAspect="1"/>
                    </pic:cNvPicPr>
                  </pic:nvPicPr>
                  <pic:blipFill>
                    <a:blip r:embed="rId6"/>
                    <a:stretch>
                      <a:fillRect/>
                    </a:stretch>
                  </pic:blipFill>
                  <pic:spPr>
                    <a:xfrm>
                      <a:off x="0" y="0"/>
                      <a:ext cx="5268595" cy="3511550"/>
                    </a:xfrm>
                    <a:prstGeom prst="rect">
                      <a:avLst/>
                    </a:prstGeom>
                  </pic:spPr>
                </pic:pic>
              </a:graphicData>
            </a:graphic>
          </wp:inline>
        </w:drawing>
      </w:r>
    </w:p>
    <w:p>
      <w:pPr>
        <w:jc w:val="center"/>
        <w:rPr>
          <w:rFonts w:hint="eastAsia"/>
          <w:b w:val="0"/>
          <w:i w:val="0"/>
          <w:caps w:val="0"/>
          <w:color w:val="000000" w:themeColor="text1"/>
          <w:spacing w:val="0"/>
          <w:sz w:val="24"/>
          <w:szCs w:val="24"/>
          <w14:textFill>
            <w14:solidFill>
              <w14:schemeClr w14:val="tx1"/>
            </w14:solidFill>
          </w14:textFill>
        </w:rPr>
      </w:pPr>
      <w:r>
        <w:rPr>
          <w:rFonts w:hint="eastAsia"/>
          <w:color w:val="000000" w:themeColor="text1"/>
          <w:sz w:val="21"/>
          <w:szCs w:val="21"/>
          <w:lang w:eastAsia="zh-CN"/>
          <w14:textFill>
            <w14:solidFill>
              <w14:schemeClr w14:val="tx1"/>
            </w14:solidFill>
          </w14:textFill>
        </w:rPr>
        <w:t>西澳大学商学院金融模拟交易室</w:t>
      </w:r>
    </w:p>
    <w:p>
      <w:pPr>
        <w:rPr>
          <w:rFonts w:hint="eastAsia"/>
          <w:b w:val="0"/>
          <w:i w:val="0"/>
          <w:caps w:val="0"/>
          <w:color w:val="000000" w:themeColor="text1"/>
          <w:spacing w:val="0"/>
          <w:sz w:val="24"/>
          <w:szCs w:val="24"/>
          <w14:textFill>
            <w14:solidFill>
              <w14:schemeClr w14:val="tx1"/>
            </w14:solidFill>
          </w14:textFill>
        </w:rPr>
      </w:pPr>
    </w:p>
    <w:p>
      <w:pPr>
        <w:ind w:firstLine="480" w:firstLineChars="200"/>
        <w:rPr>
          <w:rFonts w:hint="eastAsia"/>
          <w:b w:val="0"/>
          <w:i w:val="0"/>
          <w:caps w:val="0"/>
          <w:color w:val="000000" w:themeColor="text1"/>
          <w:spacing w:val="0"/>
          <w:sz w:val="24"/>
          <w:szCs w:val="24"/>
          <w14:textFill>
            <w14:solidFill>
              <w14:schemeClr w14:val="tx1"/>
            </w14:solidFill>
          </w14:textFill>
        </w:rPr>
      </w:pPr>
      <w:r>
        <w:rPr>
          <w:rFonts w:hint="eastAsia"/>
          <w:sz w:val="24"/>
          <w:szCs w:val="24"/>
        </w:rPr>
        <w:t>西澳大学座落在魅力城市珀斯，位于东八区，与中国零时差。 珀斯作为西澳首府及澳大利亚第四大城市，具备世界一流的教育水平、完备的医疗体系、完善的公共设施以及良好的人文环境。气候宜人、阳光明媚，美丽的城市景观与独特的自然风光并存。此外，珀斯更</w:t>
      </w:r>
      <w:r>
        <w:rPr>
          <w:rFonts w:hint="eastAsia"/>
          <w:sz w:val="24"/>
          <w:szCs w:val="24"/>
          <w:lang w:eastAsia="zh-CN"/>
        </w:rPr>
        <w:t>是多年</w:t>
      </w:r>
      <w:r>
        <w:rPr>
          <w:rFonts w:hint="eastAsia"/>
          <w:sz w:val="24"/>
          <w:szCs w:val="24"/>
        </w:rPr>
        <w:t>被评为最佳旅游城市及全球最宜居城市</w:t>
      </w:r>
      <w:r>
        <w:rPr>
          <w:rFonts w:hint="eastAsia"/>
          <w:sz w:val="24"/>
          <w:szCs w:val="24"/>
          <w:lang w:eastAsia="zh-CN"/>
        </w:rPr>
        <w:t>之一</w:t>
      </w:r>
      <w:r>
        <w:rPr>
          <w:rFonts w:hint="eastAsia"/>
          <w:sz w:val="24"/>
          <w:szCs w:val="24"/>
        </w:rPr>
        <w:t>。</w:t>
      </w:r>
    </w:p>
    <w:p>
      <w:pPr>
        <w:rPr>
          <w:rFonts w:hint="eastAsia" w:eastAsiaTheme="minorEastAsia"/>
          <w:b/>
          <w:bCs/>
          <w:sz w:val="24"/>
          <w:lang w:eastAsia="zh-CN"/>
        </w:rPr>
      </w:pPr>
      <w:r>
        <w:rPr>
          <w:rFonts w:hint="eastAsia" w:eastAsiaTheme="minorEastAsia"/>
          <w:b/>
          <w:bCs/>
          <w:sz w:val="24"/>
          <w:lang w:eastAsia="zh-CN"/>
        </w:rPr>
        <w:drawing>
          <wp:inline distT="0" distB="0" distL="114300" distR="114300">
            <wp:extent cx="5264150" cy="3568700"/>
            <wp:effectExtent l="0" t="0" r="12700" b="12700"/>
            <wp:docPr id="6" name="图片 6" descr="602b57ced417c4f175264a407d1e0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02b57ced417c4f175264a407d1e0b6"/>
                    <pic:cNvPicPr>
                      <a:picLocks noChangeAspect="1"/>
                    </pic:cNvPicPr>
                  </pic:nvPicPr>
                  <pic:blipFill>
                    <a:blip r:embed="rId7"/>
                    <a:stretch>
                      <a:fillRect/>
                    </a:stretch>
                  </pic:blipFill>
                  <pic:spPr>
                    <a:xfrm>
                      <a:off x="0" y="0"/>
                      <a:ext cx="5264150" cy="3568700"/>
                    </a:xfrm>
                    <a:prstGeom prst="rect">
                      <a:avLst/>
                    </a:prstGeom>
                  </pic:spPr>
                </pic:pic>
              </a:graphicData>
            </a:graphic>
          </wp:inline>
        </w:drawing>
      </w:r>
    </w:p>
    <w:p>
      <w:pPr>
        <w:jc w:val="center"/>
        <w:rPr>
          <w:rFonts w:hint="eastAsia"/>
          <w:sz w:val="24"/>
          <w:szCs w:val="24"/>
        </w:rPr>
      </w:pPr>
      <w:r>
        <w:rPr>
          <w:rFonts w:hint="eastAsia"/>
          <w:sz w:val="21"/>
          <w:szCs w:val="21"/>
          <w:lang w:eastAsia="zh-CN"/>
        </w:rPr>
        <w:t>西澳大学鸟瞰图</w:t>
      </w:r>
    </w:p>
    <w:p>
      <w:pPr>
        <w:rPr>
          <w:rFonts w:hint="eastAsia"/>
          <w:b/>
          <w:bCs/>
          <w:color w:val="4472C4" w:themeColor="accent5"/>
          <w:sz w:val="24"/>
          <w:szCs w:val="24"/>
          <w14:textFill>
            <w14:solidFill>
              <w14:schemeClr w14:val="accent5"/>
            </w14:solidFill>
          </w14:textFill>
        </w:rPr>
      </w:pPr>
      <w:r>
        <w:rPr>
          <w:rFonts w:hint="eastAsia"/>
          <w:b/>
          <w:bCs/>
          <w:color w:val="4472C4" w:themeColor="accent5"/>
          <w:sz w:val="24"/>
          <w:szCs w:val="24"/>
          <w14:textFill>
            <w14:solidFill>
              <w14:schemeClr w14:val="accent5"/>
            </w14:solidFill>
          </w14:textFill>
        </w:rPr>
        <w:t>项目介绍：</w:t>
      </w:r>
    </w:p>
    <w:p>
      <w:pPr>
        <w:ind w:firstLine="480" w:firstLineChars="200"/>
        <w:rPr>
          <w:rFonts w:hint="eastAsia" w:eastAsiaTheme="minorEastAsia"/>
          <w:b w:val="0"/>
          <w:bCs w:val="0"/>
          <w:color w:val="auto"/>
          <w:sz w:val="24"/>
          <w:szCs w:val="24"/>
          <w:lang w:eastAsia="zh-CN"/>
        </w:rPr>
      </w:pPr>
      <w:r>
        <w:rPr>
          <w:rFonts w:hint="eastAsia"/>
          <w:b w:val="0"/>
          <w:bCs w:val="0"/>
          <w:color w:val="auto"/>
          <w:sz w:val="24"/>
          <w:szCs w:val="24"/>
        </w:rPr>
        <w:t>招生对象：经济学院和工商管理学院相关专业大一和大二学生</w:t>
      </w:r>
      <w:r>
        <w:rPr>
          <w:rFonts w:hint="eastAsia"/>
          <w:b w:val="0"/>
          <w:bCs w:val="0"/>
          <w:color w:val="auto"/>
          <w:sz w:val="24"/>
          <w:szCs w:val="24"/>
          <w:lang w:eastAsia="zh-CN"/>
        </w:rPr>
        <w:t>。</w:t>
      </w:r>
    </w:p>
    <w:p>
      <w:pPr>
        <w:rPr>
          <w:rFonts w:hint="eastAsia"/>
          <w:sz w:val="24"/>
          <w:szCs w:val="24"/>
        </w:rPr>
      </w:pPr>
    </w:p>
    <w:p>
      <w:pPr>
        <w:ind w:firstLine="480" w:firstLineChars="200"/>
        <w:rPr>
          <w:rFonts w:hint="eastAsia"/>
          <w:sz w:val="24"/>
          <w:szCs w:val="24"/>
        </w:rPr>
      </w:pPr>
      <w:r>
        <w:rPr>
          <w:rFonts w:hint="eastAsia"/>
          <w:sz w:val="24"/>
          <w:szCs w:val="24"/>
        </w:rPr>
        <w:t>培养模式：前两年在广东财经大</w:t>
      </w:r>
      <w:r>
        <w:rPr>
          <w:rFonts w:hint="eastAsia"/>
          <w:b w:val="0"/>
          <w:bCs w:val="0"/>
          <w:color w:val="auto"/>
          <w:sz w:val="24"/>
          <w:szCs w:val="24"/>
        </w:rPr>
        <w:t>学</w:t>
      </w:r>
      <w:r>
        <w:rPr>
          <w:rFonts w:hint="eastAsia"/>
          <w:b w:val="0"/>
          <w:bCs w:val="0"/>
          <w:color w:val="auto"/>
          <w:sz w:val="24"/>
          <w:szCs w:val="24"/>
          <w:lang w:eastAsia="zh-CN"/>
        </w:rPr>
        <w:t>相关专业</w:t>
      </w:r>
      <w:r>
        <w:rPr>
          <w:rFonts w:hint="eastAsia"/>
          <w:b w:val="0"/>
          <w:bCs w:val="0"/>
          <w:color w:val="auto"/>
          <w:sz w:val="24"/>
          <w:szCs w:val="24"/>
        </w:rPr>
        <w:t>学习，第三、四年赴西澳大学学习商科类</w:t>
      </w:r>
      <w:r>
        <w:rPr>
          <w:rFonts w:hint="eastAsia"/>
          <w:b w:val="0"/>
          <w:bCs w:val="0"/>
          <w:color w:val="auto"/>
          <w:sz w:val="24"/>
          <w:szCs w:val="24"/>
          <w:lang w:eastAsia="zh-CN"/>
        </w:rPr>
        <w:t>对应</w:t>
      </w:r>
      <w:r>
        <w:rPr>
          <w:rFonts w:hint="eastAsia"/>
          <w:b w:val="0"/>
          <w:bCs w:val="0"/>
          <w:color w:val="auto"/>
          <w:sz w:val="24"/>
          <w:szCs w:val="24"/>
        </w:rPr>
        <w:t>专业；学习期满，符合双方学校毕</w:t>
      </w:r>
      <w:r>
        <w:rPr>
          <w:rFonts w:hint="eastAsia"/>
          <w:sz w:val="24"/>
          <w:szCs w:val="24"/>
        </w:rPr>
        <w:t>业及学位授予要求，可获得广东财经大学学士学位、本科毕业证书及西澳大学学位证书。本科毕业后，继续留在西澳大学攻读硕士学位，最高可获得4门相关专业课程的硕士课程学分互认，修读1.5年可获得西澳大学商科类硕士学位。</w:t>
      </w:r>
    </w:p>
    <w:p>
      <w:pPr>
        <w:rPr>
          <w:rFonts w:hint="eastAsia"/>
          <w:sz w:val="24"/>
          <w:szCs w:val="24"/>
        </w:rPr>
      </w:pPr>
      <w:r>
        <w:rPr>
          <w:rFonts w:hint="eastAsia"/>
          <w:sz w:val="24"/>
          <w:szCs w:val="24"/>
        </w:rPr>
        <w:t xml:space="preserve">  </w:t>
      </w:r>
    </w:p>
    <w:p>
      <w:pPr>
        <w:ind w:firstLine="480" w:firstLineChars="200"/>
        <w:rPr>
          <w:rFonts w:hint="eastAsia"/>
          <w:sz w:val="24"/>
          <w:szCs w:val="24"/>
        </w:rPr>
      </w:pPr>
      <w:r>
        <w:rPr>
          <w:rFonts w:hint="eastAsia"/>
          <w:sz w:val="24"/>
          <w:szCs w:val="24"/>
        </w:rPr>
        <w:t>西澳大学录取条件：在广东财经大学修读的两年本科课程平均分不低于70分</w:t>
      </w:r>
      <w:r>
        <w:rPr>
          <w:rFonts w:hint="eastAsia"/>
          <w:sz w:val="24"/>
          <w:szCs w:val="24"/>
          <w:lang w:eastAsia="zh-CN"/>
        </w:rPr>
        <w:t>，无不通过科目</w:t>
      </w:r>
      <w:r>
        <w:rPr>
          <w:rFonts w:hint="eastAsia"/>
          <w:sz w:val="24"/>
          <w:szCs w:val="24"/>
        </w:rPr>
        <w:t>；雅思总分6.5分、各单项不低于6.0分，若不达此语言要求，可在西澳大学语言中心修读</w:t>
      </w:r>
      <w:r>
        <w:rPr>
          <w:rFonts w:hint="eastAsia"/>
          <w:sz w:val="24"/>
          <w:szCs w:val="24"/>
          <w:lang w:eastAsia="zh-CN"/>
        </w:rPr>
        <w:t>英语桥梁</w:t>
      </w:r>
      <w:r>
        <w:rPr>
          <w:rFonts w:hint="eastAsia"/>
          <w:sz w:val="24"/>
          <w:szCs w:val="24"/>
        </w:rPr>
        <w:t>课程。</w:t>
      </w:r>
    </w:p>
    <w:p>
      <w:pPr>
        <w:rPr>
          <w:rFonts w:hint="eastAsia"/>
          <w:sz w:val="24"/>
          <w:szCs w:val="24"/>
        </w:rPr>
      </w:pPr>
      <w:r>
        <w:rPr>
          <w:rFonts w:hint="eastAsia"/>
          <w:sz w:val="24"/>
          <w:szCs w:val="24"/>
        </w:rPr>
        <w:t xml:space="preserve">  </w:t>
      </w:r>
    </w:p>
    <w:p>
      <w:pPr>
        <w:rPr>
          <w:rFonts w:hint="eastAsia"/>
          <w:b/>
          <w:bCs/>
          <w:color w:val="4472C4" w:themeColor="accent5"/>
          <w:sz w:val="24"/>
          <w:szCs w:val="24"/>
          <w14:textFill>
            <w14:solidFill>
              <w14:schemeClr w14:val="accent5"/>
            </w14:solidFill>
          </w14:textFill>
        </w:rPr>
      </w:pPr>
      <w:r>
        <w:rPr>
          <w:rFonts w:hint="eastAsia"/>
          <w:b/>
          <w:bCs/>
          <w:color w:val="4472C4" w:themeColor="accent5"/>
          <w:sz w:val="24"/>
          <w:szCs w:val="24"/>
          <w14:textFill>
            <w14:solidFill>
              <w14:schemeClr w14:val="accent5"/>
            </w14:solidFill>
          </w14:textFill>
        </w:rPr>
        <w:t>项目优势：</w:t>
      </w:r>
    </w:p>
    <w:p>
      <w:pPr>
        <w:numPr>
          <w:ilvl w:val="0"/>
          <w:numId w:val="1"/>
        </w:numPr>
        <w:ind w:left="420" w:leftChars="0" w:hanging="420" w:firstLineChars="0"/>
        <w:rPr>
          <w:rFonts w:hint="eastAsia"/>
          <w:sz w:val="24"/>
          <w:szCs w:val="24"/>
        </w:rPr>
      </w:pPr>
      <w:r>
        <w:rPr>
          <w:rFonts w:hint="eastAsia"/>
          <w:b/>
          <w:bCs/>
          <w:sz w:val="24"/>
          <w:szCs w:val="24"/>
        </w:rPr>
        <w:t>品牌优势</w:t>
      </w:r>
      <w:r>
        <w:rPr>
          <w:rFonts w:hint="eastAsia"/>
          <w:sz w:val="24"/>
          <w:szCs w:val="24"/>
        </w:rPr>
        <w:t>：西澳大学是世界百强名校，是澳大利亚八大名校联盟成员之一，也是澳大利亚百年老校。</w:t>
      </w:r>
    </w:p>
    <w:p>
      <w:pPr>
        <w:numPr>
          <w:ilvl w:val="0"/>
          <w:numId w:val="1"/>
        </w:numPr>
        <w:ind w:left="420" w:leftChars="0" w:hanging="420" w:firstLineChars="0"/>
        <w:rPr>
          <w:rFonts w:hint="eastAsia"/>
          <w:sz w:val="24"/>
          <w:szCs w:val="24"/>
        </w:rPr>
      </w:pPr>
      <w:r>
        <w:rPr>
          <w:rFonts w:hint="eastAsia"/>
          <w:b/>
          <w:bCs/>
          <w:sz w:val="24"/>
          <w:szCs w:val="24"/>
        </w:rPr>
        <w:t>文凭优势</w:t>
      </w:r>
      <w:r>
        <w:rPr>
          <w:rFonts w:hint="eastAsia"/>
          <w:sz w:val="24"/>
          <w:szCs w:val="24"/>
        </w:rPr>
        <w:t>：同获高含金量双学士学位。</w:t>
      </w:r>
    </w:p>
    <w:p>
      <w:pPr>
        <w:numPr>
          <w:ilvl w:val="0"/>
          <w:numId w:val="1"/>
        </w:numPr>
        <w:ind w:left="420" w:leftChars="0" w:hanging="420" w:firstLineChars="0"/>
        <w:rPr>
          <w:rFonts w:hint="eastAsia"/>
          <w:sz w:val="24"/>
          <w:szCs w:val="24"/>
        </w:rPr>
      </w:pPr>
      <w:r>
        <w:rPr>
          <w:rFonts w:hint="eastAsia"/>
          <w:b/>
          <w:bCs/>
          <w:color w:val="auto"/>
          <w:sz w:val="24"/>
          <w:szCs w:val="24"/>
        </w:rPr>
        <w:t>专业优势</w:t>
      </w:r>
      <w:r>
        <w:rPr>
          <w:rFonts w:hint="eastAsia"/>
          <w:sz w:val="24"/>
          <w:szCs w:val="24"/>
        </w:rPr>
        <w:t>：金融学专业世界专业排名前百强，商学院获AACSB及EQUIS双重认证（全球仅有不到5%的商学院获该殊荣），本科金融专业获得特许金融分析师机构（CFA）认证，</w:t>
      </w:r>
      <w:r>
        <w:rPr>
          <w:rFonts w:hint="eastAsia"/>
          <w:sz w:val="24"/>
          <w:szCs w:val="24"/>
          <w:lang w:eastAsia="zh-CN"/>
        </w:rPr>
        <w:t>会计课程受澳大利亚注册会计师协会认证，</w:t>
      </w:r>
      <w:r>
        <w:rPr>
          <w:rFonts w:hint="eastAsia"/>
          <w:sz w:val="24"/>
          <w:szCs w:val="24"/>
        </w:rPr>
        <w:t>可享用哈佛大学商学院的学术教育平台资源。</w:t>
      </w:r>
    </w:p>
    <w:p>
      <w:pPr>
        <w:numPr>
          <w:ilvl w:val="0"/>
          <w:numId w:val="1"/>
        </w:numPr>
        <w:ind w:left="420" w:leftChars="0" w:hanging="420" w:firstLineChars="0"/>
        <w:rPr>
          <w:rFonts w:hint="eastAsia"/>
          <w:b w:val="0"/>
          <w:bCs w:val="0"/>
          <w:color w:val="auto"/>
          <w:sz w:val="24"/>
          <w:szCs w:val="24"/>
        </w:rPr>
      </w:pPr>
      <w:r>
        <w:rPr>
          <w:rFonts w:hint="eastAsia"/>
          <w:b/>
          <w:bCs/>
          <w:sz w:val="24"/>
          <w:szCs w:val="24"/>
        </w:rPr>
        <w:t>双专业优势</w:t>
      </w:r>
      <w:r>
        <w:rPr>
          <w:rFonts w:hint="eastAsia"/>
          <w:sz w:val="24"/>
          <w:szCs w:val="24"/>
        </w:rPr>
        <w:t>：西澳大学本科阶段采用跨学科通才教学模式，学生在澳期间可同时选择修读两个专业</w:t>
      </w:r>
      <w:r>
        <w:rPr>
          <w:rFonts w:hint="eastAsia"/>
          <w:b w:val="0"/>
          <w:bCs w:val="0"/>
          <w:color w:val="auto"/>
          <w:sz w:val="24"/>
          <w:szCs w:val="24"/>
          <w:lang w:eastAsia="zh-CN"/>
        </w:rPr>
        <w:t>，无需额外时间与学费</w:t>
      </w:r>
      <w:r>
        <w:rPr>
          <w:rFonts w:hint="eastAsia"/>
          <w:b w:val="0"/>
          <w:bCs w:val="0"/>
          <w:color w:val="auto"/>
          <w:sz w:val="24"/>
          <w:szCs w:val="24"/>
        </w:rPr>
        <w:t>。</w:t>
      </w:r>
      <w:r>
        <w:rPr>
          <w:rFonts w:hint="eastAsia"/>
          <w:b w:val="0"/>
          <w:bCs w:val="0"/>
          <w:color w:val="auto"/>
          <w:sz w:val="24"/>
          <w:szCs w:val="24"/>
          <w:lang w:eastAsia="zh-CN"/>
        </w:rPr>
        <w:t>可选择的专业方向包括：管理学、金融学、会计学、经济学、市场营销学、人力资源管理、商法。</w:t>
      </w:r>
    </w:p>
    <w:p>
      <w:pPr>
        <w:numPr>
          <w:ilvl w:val="0"/>
          <w:numId w:val="1"/>
        </w:numPr>
        <w:ind w:left="420" w:leftChars="0" w:hanging="420" w:firstLineChars="0"/>
        <w:rPr>
          <w:rFonts w:hint="eastAsia"/>
          <w:b w:val="0"/>
          <w:bCs/>
          <w:sz w:val="24"/>
          <w:szCs w:val="24"/>
          <w:highlight w:val="none"/>
        </w:rPr>
      </w:pPr>
      <w:r>
        <w:rPr>
          <w:rFonts w:hint="eastAsia"/>
          <w:b/>
          <w:bCs/>
          <w:sz w:val="24"/>
          <w:szCs w:val="24"/>
        </w:rPr>
        <w:t>教学优势</w:t>
      </w:r>
      <w:r>
        <w:rPr>
          <w:rFonts w:hint="eastAsia"/>
          <w:sz w:val="24"/>
          <w:szCs w:val="24"/>
        </w:rPr>
        <w:t>：专享国际化教育模式与平台，充分享受中澳优质师资资源。</w:t>
      </w:r>
      <w:r>
        <w:rPr>
          <w:rStyle w:val="6"/>
          <w:rFonts w:hint="eastAsia" w:ascii="宋体" w:hAnsi="宋体" w:eastAsia="宋体" w:cs="宋体"/>
          <w:b w:val="0"/>
          <w:bCs/>
          <w:i w:val="0"/>
          <w:caps w:val="0"/>
          <w:color w:val="auto"/>
          <w:spacing w:val="0"/>
          <w:sz w:val="24"/>
          <w:szCs w:val="24"/>
          <w:highlight w:val="none"/>
          <w:lang w:eastAsia="zh-CN"/>
        </w:rPr>
        <w:t>西澳大学商学院</w:t>
      </w:r>
      <w:r>
        <w:rPr>
          <w:rStyle w:val="6"/>
          <w:rFonts w:hint="eastAsia" w:ascii="宋体" w:hAnsi="宋体" w:eastAsia="宋体" w:cs="宋体"/>
          <w:b w:val="0"/>
          <w:bCs/>
          <w:i w:val="0"/>
          <w:caps w:val="0"/>
          <w:color w:val="auto"/>
          <w:spacing w:val="0"/>
          <w:sz w:val="24"/>
          <w:szCs w:val="24"/>
          <w:highlight w:val="none"/>
          <w:lang w:val="en-US" w:eastAsia="zh-CN"/>
        </w:rPr>
        <w:t>Rosemarie Nathanson金融模拟交易室获世界级年度教育项目奖，让学生在足不出户访问400多个全球市场及纽约、伦敦等多个证券交易历史所市场数据。西澳大学更拥有多个学术图书馆，蕴含有上百万书册，85万多本书籍等学术以及研究机构资料。</w:t>
      </w:r>
    </w:p>
    <w:p>
      <w:pPr>
        <w:numPr>
          <w:ilvl w:val="0"/>
          <w:numId w:val="1"/>
        </w:numPr>
        <w:ind w:left="420" w:leftChars="0" w:hanging="420" w:firstLineChars="0"/>
        <w:rPr>
          <w:rFonts w:hint="eastAsia"/>
          <w:sz w:val="24"/>
          <w:szCs w:val="24"/>
        </w:rPr>
      </w:pPr>
      <w:r>
        <w:rPr>
          <w:rFonts w:hint="eastAsia"/>
          <w:b/>
          <w:bCs/>
          <w:sz w:val="24"/>
          <w:szCs w:val="24"/>
        </w:rPr>
        <w:t>升硕优势</w:t>
      </w:r>
      <w:r>
        <w:rPr>
          <w:rFonts w:hint="eastAsia"/>
          <w:sz w:val="24"/>
          <w:szCs w:val="24"/>
        </w:rPr>
        <w:t>：继续升读西澳大学相关专业硕士，可豁免四门课程，更有机会获得西澳大学高额读研奖学金；节省半年时间与费用；更容易获得世界各地著名高校的研究生录取。</w:t>
      </w:r>
    </w:p>
    <w:p>
      <w:pPr>
        <w:numPr>
          <w:ilvl w:val="0"/>
          <w:numId w:val="1"/>
        </w:numPr>
        <w:ind w:left="420" w:leftChars="0" w:hanging="420" w:firstLineChars="0"/>
        <w:rPr>
          <w:rFonts w:hint="eastAsia"/>
          <w:sz w:val="24"/>
          <w:szCs w:val="24"/>
        </w:rPr>
      </w:pPr>
      <w:r>
        <w:rPr>
          <w:rFonts w:hint="eastAsia"/>
          <w:b/>
          <w:bCs/>
          <w:sz w:val="24"/>
          <w:szCs w:val="24"/>
        </w:rPr>
        <w:t>签证优势</w:t>
      </w:r>
      <w:r>
        <w:rPr>
          <w:rFonts w:hint="eastAsia"/>
          <w:sz w:val="24"/>
          <w:szCs w:val="24"/>
        </w:rPr>
        <w:t>：每两周40小时兼职时间且假期无上限，毕业后可申请两年</w:t>
      </w:r>
      <w:r>
        <w:rPr>
          <w:rFonts w:hint="eastAsia"/>
          <w:sz w:val="24"/>
          <w:szCs w:val="24"/>
          <w:lang w:val="en-US" w:eastAsia="zh-CN"/>
        </w:rPr>
        <w:t>至三年</w:t>
      </w:r>
      <w:r>
        <w:rPr>
          <w:rFonts w:hint="eastAsia"/>
          <w:sz w:val="24"/>
          <w:szCs w:val="24"/>
        </w:rPr>
        <w:t>工作签证。</w:t>
      </w:r>
    </w:p>
    <w:p>
      <w:pPr>
        <w:numPr>
          <w:ilvl w:val="0"/>
          <w:numId w:val="1"/>
        </w:numPr>
        <w:ind w:left="420" w:leftChars="0" w:hanging="420" w:firstLineChars="0"/>
        <w:rPr>
          <w:rFonts w:hint="eastAsia"/>
          <w:sz w:val="24"/>
          <w:szCs w:val="24"/>
        </w:rPr>
      </w:pPr>
      <w:r>
        <w:rPr>
          <w:rFonts w:hint="eastAsia"/>
          <w:b/>
          <w:bCs/>
          <w:sz w:val="24"/>
          <w:szCs w:val="24"/>
        </w:rPr>
        <w:t>就业优势</w:t>
      </w:r>
      <w:r>
        <w:rPr>
          <w:rFonts w:hint="eastAsia"/>
          <w:sz w:val="24"/>
          <w:szCs w:val="24"/>
        </w:rPr>
        <w:t>：成为具有更强就业、创业竞争力的国际化人才，易获用人单位青睐。</w:t>
      </w:r>
    </w:p>
    <w:p>
      <w:pPr>
        <w:numPr>
          <w:ilvl w:val="0"/>
          <w:numId w:val="1"/>
        </w:numPr>
        <w:ind w:left="420" w:leftChars="0" w:hanging="420" w:firstLineChars="0"/>
        <w:rPr>
          <w:rFonts w:hint="eastAsia"/>
          <w:sz w:val="24"/>
          <w:szCs w:val="24"/>
        </w:rPr>
      </w:pPr>
      <w:r>
        <w:rPr>
          <w:rFonts w:hint="eastAsia"/>
          <w:b/>
          <w:bCs/>
          <w:sz w:val="24"/>
          <w:szCs w:val="24"/>
        </w:rPr>
        <w:t>地缘优势</w:t>
      </w:r>
      <w:r>
        <w:rPr>
          <w:rFonts w:hint="eastAsia"/>
          <w:sz w:val="24"/>
          <w:szCs w:val="24"/>
        </w:rPr>
        <w:t>：西澳大学所在城市珀斯，连续多年被评为世界十大最适宜居住城市之一，与中国零时差；西澳州物资丰饶，经济发达，支撑全澳60%的经济，是澳大利亚最富裕的一个州。</w:t>
      </w:r>
    </w:p>
    <w:p>
      <w:pPr>
        <w:numPr>
          <w:ilvl w:val="0"/>
          <w:numId w:val="1"/>
        </w:numPr>
        <w:ind w:left="420" w:leftChars="0" w:hanging="420" w:firstLineChars="0"/>
        <w:rPr>
          <w:rFonts w:hint="eastAsia"/>
          <w:b/>
          <w:bCs/>
          <w:color w:val="auto"/>
          <w:sz w:val="24"/>
          <w:szCs w:val="24"/>
        </w:rPr>
      </w:pPr>
      <w:r>
        <w:rPr>
          <w:rFonts w:hint="eastAsia"/>
          <w:b/>
          <w:bCs/>
          <w:color w:val="auto"/>
          <w:sz w:val="24"/>
          <w:szCs w:val="24"/>
          <w:lang w:eastAsia="zh-CN"/>
        </w:rPr>
        <w:t>实习优势：</w:t>
      </w:r>
      <w:r>
        <w:rPr>
          <w:rFonts w:hint="eastAsia"/>
          <w:b w:val="0"/>
          <w:bCs w:val="0"/>
          <w:color w:val="auto"/>
          <w:sz w:val="24"/>
          <w:szCs w:val="24"/>
          <w:lang w:eastAsia="zh-CN"/>
        </w:rPr>
        <w:t>学生可选择修读实习课程，商学院拥有超过</w:t>
      </w:r>
      <w:r>
        <w:rPr>
          <w:rFonts w:hint="eastAsia"/>
          <w:b w:val="0"/>
          <w:bCs w:val="0"/>
          <w:color w:val="auto"/>
          <w:sz w:val="24"/>
          <w:szCs w:val="24"/>
          <w:lang w:val="en-US" w:eastAsia="zh-CN"/>
        </w:rPr>
        <w:t>30个行业合作伙伴，如普华永道、三菱、毕马威、Woodside等。</w:t>
      </w:r>
    </w:p>
    <w:p>
      <w:pPr>
        <w:numPr>
          <w:ilvl w:val="0"/>
          <w:numId w:val="1"/>
        </w:numPr>
        <w:ind w:left="420" w:leftChars="0" w:hanging="420" w:firstLineChars="0"/>
        <w:rPr>
          <w:rFonts w:hint="eastAsia"/>
          <w:b/>
          <w:bCs/>
          <w:color w:val="auto"/>
          <w:sz w:val="24"/>
          <w:szCs w:val="24"/>
        </w:rPr>
      </w:pPr>
      <w:r>
        <w:rPr>
          <w:rFonts w:hint="eastAsia"/>
          <w:b/>
          <w:bCs/>
          <w:color w:val="auto"/>
          <w:sz w:val="24"/>
          <w:szCs w:val="24"/>
          <w:lang w:val="en-US" w:eastAsia="zh-CN"/>
        </w:rPr>
        <w:t>行业优势：</w:t>
      </w:r>
      <w:r>
        <w:rPr>
          <w:rFonts w:hint="eastAsia"/>
          <w:b w:val="0"/>
          <w:bCs w:val="0"/>
          <w:color w:val="auto"/>
          <w:sz w:val="24"/>
          <w:szCs w:val="24"/>
          <w:lang w:val="en-US" w:eastAsia="zh-CN"/>
        </w:rPr>
        <w:t>西澳大学商学院与行业间紧密合作，除了为学生提供实习机会，行业合作伙伴更提供奖学金、学术讲座、与学校定期更新研究案例。</w:t>
      </w:r>
    </w:p>
    <w:p>
      <w:pPr>
        <w:numPr>
          <w:ilvl w:val="0"/>
          <w:numId w:val="1"/>
        </w:numPr>
        <w:rPr>
          <w:rFonts w:hint="eastAsia"/>
          <w:b/>
          <w:bCs/>
          <w:color w:val="auto"/>
          <w:sz w:val="24"/>
          <w:szCs w:val="24"/>
        </w:rPr>
      </w:pPr>
      <w:r>
        <w:rPr>
          <w:rFonts w:hint="eastAsia"/>
          <w:b/>
          <w:bCs/>
          <w:color w:val="auto"/>
          <w:sz w:val="24"/>
          <w:lang w:eastAsia="zh-CN"/>
        </w:rPr>
        <w:t>奖学金优势：</w:t>
      </w:r>
      <w:r>
        <w:rPr>
          <w:rFonts w:hint="eastAsia"/>
          <w:b w:val="0"/>
          <w:bCs w:val="0"/>
          <w:color w:val="auto"/>
          <w:sz w:val="24"/>
          <w:lang w:eastAsia="zh-CN"/>
        </w:rPr>
        <w:t>参与项目学生有机会获得西澳大学提供的学费奖学金。</w:t>
      </w:r>
    </w:p>
    <w:p>
      <w:pPr>
        <w:numPr>
          <w:ilvl w:val="0"/>
          <w:numId w:val="0"/>
        </w:numPr>
        <w:ind w:leftChars="0"/>
        <w:rPr>
          <w:rFonts w:hint="eastAsia"/>
          <w:b w:val="0"/>
          <w:bCs w:val="0"/>
          <w:sz w:val="24"/>
          <w:szCs w:val="24"/>
          <w:highlight w:val="none"/>
          <w:lang w:eastAsia="zh-CN"/>
        </w:rPr>
      </w:pPr>
    </w:p>
    <w:p>
      <w:pPr>
        <w:numPr>
          <w:ilvl w:val="0"/>
          <w:numId w:val="0"/>
        </w:numPr>
        <w:ind w:leftChars="0"/>
        <w:rPr>
          <w:rFonts w:hint="eastAsia"/>
          <w:b w:val="0"/>
          <w:bCs w:val="0"/>
          <w:sz w:val="24"/>
          <w:szCs w:val="24"/>
          <w:highlight w:val="none"/>
          <w:lang w:eastAsia="zh-CN"/>
        </w:rPr>
      </w:pPr>
    </w:p>
    <w:p>
      <w:pPr>
        <w:numPr>
          <w:ilvl w:val="0"/>
          <w:numId w:val="0"/>
        </w:numPr>
        <w:ind w:leftChars="0"/>
        <w:rPr>
          <w:rFonts w:hint="eastAsia"/>
          <w:b w:val="0"/>
          <w:bCs w:val="0"/>
          <w:sz w:val="24"/>
          <w:szCs w:val="24"/>
          <w:highlight w:val="none"/>
          <w:lang w:eastAsia="zh-CN"/>
        </w:rPr>
      </w:pPr>
    </w:p>
    <w:p>
      <w:pPr>
        <w:numPr>
          <w:ilvl w:val="0"/>
          <w:numId w:val="0"/>
        </w:numPr>
        <w:ind w:leftChars="0"/>
        <w:rPr>
          <w:rFonts w:hint="eastAsia"/>
          <w:b w:val="0"/>
          <w:bCs w:val="0"/>
          <w:sz w:val="24"/>
          <w:szCs w:val="24"/>
          <w:highlight w:val="none"/>
          <w:lang w:eastAsia="zh-CN"/>
        </w:rPr>
      </w:pPr>
    </w:p>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eastAsiaTheme="minorEastAsia"/>
          <w:b/>
          <w:bCs/>
          <w:color w:val="4472C4" w:themeColor="accent5"/>
          <w:sz w:val="24"/>
          <w:szCs w:val="24"/>
          <w:lang w:eastAsia="zh-CN"/>
          <w14:textFill>
            <w14:solidFill>
              <w14:schemeClr w14:val="accent5"/>
            </w14:solidFill>
          </w14:textFill>
        </w:rPr>
      </w:pPr>
      <w:r>
        <w:rPr>
          <w:rFonts w:hint="eastAsia"/>
          <w:b/>
          <w:bCs/>
          <w:color w:val="4472C4" w:themeColor="accent5"/>
          <w:sz w:val="24"/>
          <w:szCs w:val="24"/>
          <w:lang w:eastAsia="zh-CN"/>
          <w14:textFill>
            <w14:solidFill>
              <w14:schemeClr w14:val="accent5"/>
            </w14:solidFill>
          </w14:textFill>
        </w:rPr>
        <w:t>西澳大学学费</w:t>
      </w:r>
    </w:p>
    <w:p>
      <w:pPr>
        <w:keepNext w:val="0"/>
        <w:keepLines w:val="0"/>
        <w:pageBreakBefore w:val="0"/>
        <w:shd w:val="clear"/>
        <w:kinsoku/>
        <w:wordWrap/>
        <w:overflowPunct/>
        <w:topLinePunct w:val="0"/>
        <w:autoSpaceDE/>
        <w:autoSpaceDN/>
        <w:bidi w:val="0"/>
        <w:adjustRightInd/>
        <w:snapToGrid/>
        <w:spacing w:line="400" w:lineRule="exact"/>
        <w:ind w:firstLine="480" w:firstLineChars="200"/>
        <w:textAlignment w:val="auto"/>
        <w:rPr>
          <w:rFonts w:hint="eastAsia"/>
          <w:color w:val="auto"/>
          <w:sz w:val="24"/>
          <w:szCs w:val="24"/>
        </w:rPr>
      </w:pPr>
      <w:r>
        <w:rPr>
          <w:rFonts w:hint="eastAsia"/>
          <w:color w:val="auto"/>
          <w:sz w:val="24"/>
          <w:szCs w:val="24"/>
        </w:rPr>
        <w:t>西澳大学该专业本科课程学费</w:t>
      </w:r>
      <w:r>
        <w:rPr>
          <w:rFonts w:hint="eastAsia"/>
          <w:color w:val="auto"/>
          <w:sz w:val="24"/>
          <w:szCs w:val="24"/>
          <w:lang w:eastAsia="zh-CN"/>
        </w:rPr>
        <w:t>：</w:t>
      </w:r>
      <w:r>
        <w:rPr>
          <w:rFonts w:hint="eastAsia"/>
          <w:color w:val="auto"/>
          <w:sz w:val="24"/>
          <w:szCs w:val="24"/>
          <w:lang w:val="en-US" w:eastAsia="zh-CN"/>
        </w:rPr>
        <w:t>40,900</w:t>
      </w:r>
      <w:r>
        <w:rPr>
          <w:rFonts w:hint="eastAsia"/>
          <w:color w:val="auto"/>
          <w:sz w:val="24"/>
          <w:szCs w:val="24"/>
        </w:rPr>
        <w:t>澳元/学年 (≈</w:t>
      </w:r>
      <w:r>
        <w:rPr>
          <w:rFonts w:hint="eastAsia"/>
          <w:color w:val="auto"/>
          <w:sz w:val="24"/>
          <w:szCs w:val="24"/>
          <w:lang w:val="en-US" w:eastAsia="zh-CN"/>
        </w:rPr>
        <w:t>184,050</w:t>
      </w:r>
      <w:r>
        <w:rPr>
          <w:rFonts w:hint="eastAsia"/>
          <w:color w:val="auto"/>
          <w:sz w:val="24"/>
          <w:szCs w:val="24"/>
        </w:rPr>
        <w:t>人民币/学年)</w:t>
      </w:r>
    </w:p>
    <w:p>
      <w:pPr>
        <w:keepNext w:val="0"/>
        <w:keepLines w:val="0"/>
        <w:pageBreakBefore w:val="0"/>
        <w:shd w:val="clear"/>
        <w:kinsoku/>
        <w:wordWrap/>
        <w:overflowPunct/>
        <w:topLinePunct w:val="0"/>
        <w:autoSpaceDE/>
        <w:autoSpaceDN/>
        <w:bidi w:val="0"/>
        <w:adjustRightInd/>
        <w:snapToGrid/>
        <w:spacing w:line="240" w:lineRule="auto"/>
        <w:ind w:right="0" w:rightChars="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以上按澳币与人民币1:</w:t>
      </w: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lang w:eastAsia="zh-CN"/>
        </w:rPr>
        <w:t>计算，如有变化以实际为准。</w:t>
      </w:r>
    </w:p>
    <w:p>
      <w:pPr>
        <w:keepNext w:val="0"/>
        <w:keepLines w:val="0"/>
        <w:pageBreakBefore w:val="0"/>
        <w:shd w:val="clear"/>
        <w:kinsoku/>
        <w:wordWrap/>
        <w:overflowPunct/>
        <w:topLinePunct w:val="0"/>
        <w:autoSpaceDE/>
        <w:autoSpaceDN/>
        <w:bidi w:val="0"/>
        <w:adjustRightInd/>
        <w:snapToGrid/>
        <w:spacing w:line="240" w:lineRule="auto"/>
        <w:ind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color w:val="auto"/>
          <w:sz w:val="24"/>
          <w:szCs w:val="24"/>
          <w:lang w:eastAsia="zh-CN"/>
        </w:rPr>
        <w:t>西澳大学学费按照20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lang w:eastAsia="zh-CN"/>
        </w:rPr>
        <w:t>年官网公布学费，西澳大学官网:</w:t>
      </w:r>
      <w:r>
        <w:rPr>
          <w:rFonts w:hint="eastAsia" w:ascii="宋体" w:hAnsi="宋体" w:eastAsia="宋体" w:cs="宋体"/>
          <w:color w:val="0070C0"/>
          <w:sz w:val="24"/>
          <w:szCs w:val="24"/>
          <w:lang w:eastAsia="zh-CN"/>
        </w:rPr>
        <w:t xml:space="preserve"> </w:t>
      </w:r>
      <w:r>
        <w:rPr>
          <w:rFonts w:hint="eastAsia" w:ascii="宋体" w:hAnsi="宋体" w:eastAsia="宋体" w:cs="宋体"/>
          <w:sz w:val="24"/>
          <w:szCs w:val="24"/>
          <w:lang w:eastAsia="zh-CN"/>
        </w:rPr>
        <w:t>https://www.uwa.edu.au/</w:t>
      </w:r>
    </w:p>
    <w:p>
      <w:pPr>
        <w:keepNext w:val="0"/>
        <w:keepLines w:val="0"/>
        <w:pageBreakBefore w:val="0"/>
        <w:shd w:val="clear"/>
        <w:kinsoku/>
        <w:wordWrap/>
        <w:overflowPunct/>
        <w:topLinePunct w:val="0"/>
        <w:autoSpaceDE/>
        <w:autoSpaceDN/>
        <w:bidi w:val="0"/>
        <w:adjustRightInd/>
        <w:snapToGrid/>
        <w:spacing w:line="240" w:lineRule="auto"/>
        <w:ind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西澳大学学费每年可能有不超过7.5%的增幅， 具体学费届时请以西澳大学官方通知缴费数额为准。</w:t>
      </w:r>
    </w:p>
    <w:p>
      <w:pPr>
        <w:keepNext w:val="0"/>
        <w:keepLines w:val="0"/>
        <w:pageBreakBefore w:val="0"/>
        <w:shd w:val="clear"/>
        <w:kinsoku/>
        <w:wordWrap/>
        <w:overflowPunct/>
        <w:topLinePunct w:val="0"/>
        <w:autoSpaceDE/>
        <w:autoSpaceDN/>
        <w:bidi w:val="0"/>
        <w:adjustRightInd/>
        <w:snapToGrid/>
        <w:spacing w:line="240" w:lineRule="auto"/>
        <w:ind w:right="0" w:rightChars="0" w:firstLine="480" w:firstLineChars="200"/>
        <w:textAlignment w:val="auto"/>
        <w:outlineLvl w:val="9"/>
        <w:rPr>
          <w:rFonts w:hint="eastAsia" w:ascii="宋体" w:hAnsi="宋体" w:eastAsia="宋体" w:cs="宋体"/>
          <w:sz w:val="24"/>
          <w:szCs w:val="24"/>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240" w:lineRule="auto"/>
        <w:ind w:left="0" w:right="0" w:rightChars="0"/>
        <w:jc w:val="left"/>
        <w:textAlignment w:val="auto"/>
        <w:outlineLvl w:val="9"/>
        <w:rPr>
          <w:rFonts w:hint="eastAsia" w:ascii="宋体" w:hAnsi="宋体" w:eastAsia="宋体" w:cs="宋体"/>
          <w:b/>
          <w:color w:val="4472C4" w:themeColor="accent5"/>
          <w:kern w:val="0"/>
          <w:sz w:val="24"/>
          <w:szCs w:val="24"/>
          <w:shd w:val="clear" w:color="auto" w:fill="FFFFFF"/>
          <w:lang w:val="en-US" w:eastAsia="zh-CN" w:bidi="ar"/>
          <w14:textFill>
            <w14:solidFill>
              <w14:schemeClr w14:val="accent5"/>
            </w14:solidFill>
          </w14:textFill>
        </w:rPr>
      </w:pPr>
      <w:r>
        <w:rPr>
          <w:rFonts w:hint="eastAsia" w:ascii="宋体" w:hAnsi="宋体" w:eastAsia="宋体" w:cs="宋体"/>
          <w:b/>
          <w:color w:val="4472C4" w:themeColor="accent5"/>
          <w:kern w:val="0"/>
          <w:sz w:val="24"/>
          <w:szCs w:val="24"/>
          <w:shd w:val="clear" w:color="auto" w:fill="FFFFFF"/>
          <w:lang w:val="en-US" w:eastAsia="zh-CN" w:bidi="ar"/>
          <w14:textFill>
            <w14:solidFill>
              <w14:schemeClr w14:val="accent5"/>
            </w14:solidFill>
          </w14:textFill>
        </w:rPr>
        <w:t>报名程序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宋体" w:hAnsi="宋体" w:eastAsia="宋体" w:cs="宋体"/>
          <w:b w:val="0"/>
          <w:bCs/>
          <w:kern w:val="0"/>
          <w:sz w:val="24"/>
          <w:szCs w:val="24"/>
          <w:shd w:val="clear" w:color="auto" w:fill="FFFFFF"/>
          <w:lang w:val="en-US" w:eastAsia="zh-CN" w:bidi="ar"/>
        </w:rPr>
      </w:pPr>
      <w:r>
        <w:rPr>
          <w:rFonts w:hint="eastAsia" w:ascii="宋体" w:hAnsi="宋体" w:eastAsia="宋体" w:cs="宋体"/>
          <w:b w:val="0"/>
          <w:bCs/>
          <w:kern w:val="0"/>
          <w:sz w:val="24"/>
          <w:szCs w:val="24"/>
          <w:shd w:val="clear" w:color="auto" w:fill="FFFFFF"/>
          <w:lang w:val="en-US" w:eastAsia="zh-CN" w:bidi="ar"/>
        </w:rPr>
        <w:t>1. 学生本人提出申请，在学校国际交流合作处网站下载《参加学习项目审批表》， 由所在学院教学副院长或院长在 “所在学院审批意见栏”签署意见并签字、 盖章，交到本部综合楼707（国际交流与合作处）；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宋体" w:hAnsi="宋体" w:eastAsia="宋体" w:cs="宋体"/>
          <w:b w:val="0"/>
          <w:bCs/>
          <w:kern w:val="0"/>
          <w:sz w:val="24"/>
          <w:szCs w:val="24"/>
          <w:shd w:val="clear" w:color="auto" w:fill="FFFFFF"/>
          <w:lang w:val="en-US" w:eastAsia="zh-CN" w:bidi="ar"/>
        </w:rPr>
      </w:pPr>
      <w:r>
        <w:rPr>
          <w:rFonts w:hint="eastAsia" w:ascii="宋体" w:hAnsi="宋体" w:eastAsia="宋体" w:cs="宋体"/>
          <w:b w:val="0"/>
          <w:bCs/>
          <w:kern w:val="0"/>
          <w:sz w:val="24"/>
          <w:szCs w:val="24"/>
          <w:shd w:val="clear" w:color="auto" w:fill="FFFFFF"/>
          <w:lang w:val="en-US" w:eastAsia="zh-CN" w:bidi="ar"/>
        </w:rPr>
        <w:t>2. 提交正式申请材料并向西澳大学联络处缴纳项目费用；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宋体" w:hAnsi="宋体" w:eastAsia="宋体" w:cs="宋体"/>
          <w:b w:val="0"/>
          <w:bCs/>
          <w:kern w:val="0"/>
          <w:sz w:val="24"/>
          <w:szCs w:val="24"/>
          <w:shd w:val="clear" w:color="auto" w:fill="FFFFFF"/>
          <w:lang w:val="en-US" w:eastAsia="zh-CN" w:bidi="ar"/>
        </w:rPr>
      </w:pPr>
      <w:r>
        <w:rPr>
          <w:rFonts w:hint="eastAsia" w:ascii="宋体" w:hAnsi="宋体" w:eastAsia="宋体" w:cs="宋体"/>
          <w:b w:val="0"/>
          <w:bCs/>
          <w:kern w:val="0"/>
          <w:sz w:val="24"/>
          <w:szCs w:val="24"/>
          <w:shd w:val="clear" w:color="auto" w:fill="FFFFFF"/>
          <w:lang w:val="en-US" w:eastAsia="zh-CN" w:bidi="ar"/>
        </w:rPr>
        <w:t>3. 西澳大学确定预录取名单；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宋体" w:hAnsi="宋体" w:eastAsia="宋体" w:cs="宋体"/>
          <w:b w:val="0"/>
          <w:bCs/>
          <w:kern w:val="0"/>
          <w:sz w:val="24"/>
          <w:szCs w:val="24"/>
          <w:shd w:val="clear" w:color="auto" w:fill="FFFFFF"/>
          <w:lang w:val="en-US" w:eastAsia="zh-CN" w:bidi="ar"/>
        </w:rPr>
      </w:pPr>
      <w:r>
        <w:rPr>
          <w:rFonts w:hint="eastAsia" w:ascii="宋体" w:hAnsi="宋体" w:eastAsia="宋体" w:cs="宋体"/>
          <w:b w:val="0"/>
          <w:bCs/>
          <w:kern w:val="0"/>
          <w:sz w:val="24"/>
          <w:szCs w:val="24"/>
          <w:shd w:val="clear" w:color="auto" w:fill="FFFFFF"/>
          <w:lang w:val="en-US" w:eastAsia="zh-CN" w:bidi="ar"/>
        </w:rPr>
        <w:t>4. 被录取学生在学校国际交流合作处网站下载并填写《广东财经大学学生参加国（境）外学习项目协议书》，本协议书一式三份，由学生本人和家长签字，并在名字上按指模后，连同签字家长的身份证复印件交到本部综合楼707（国际交流与合作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宋体" w:hAnsi="宋体" w:eastAsia="宋体" w:cs="宋体"/>
          <w:b w:val="0"/>
          <w:bCs/>
          <w:kern w:val="0"/>
          <w:sz w:val="24"/>
          <w:szCs w:val="24"/>
          <w:shd w:val="clear" w:color="auto" w:fill="FFFFFF"/>
          <w:lang w:val="en-US" w:eastAsia="zh-CN" w:bidi="ar"/>
        </w:rPr>
      </w:pPr>
      <w:r>
        <w:rPr>
          <w:rFonts w:hint="eastAsia" w:ascii="宋体" w:hAnsi="宋体" w:eastAsia="宋体" w:cs="宋体"/>
          <w:b w:val="0"/>
          <w:bCs/>
          <w:kern w:val="0"/>
          <w:sz w:val="24"/>
          <w:szCs w:val="24"/>
          <w:shd w:val="clear" w:color="auto" w:fill="FFFFFF"/>
          <w:lang w:val="en-US" w:eastAsia="zh-CN" w:bidi="ar"/>
        </w:rPr>
        <w:t>5.办理签证；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宋体" w:hAnsi="宋体" w:eastAsia="宋体" w:cs="宋体"/>
          <w:b w:val="0"/>
          <w:bCs/>
          <w:kern w:val="0"/>
          <w:sz w:val="24"/>
          <w:szCs w:val="24"/>
          <w:shd w:val="clear" w:color="auto" w:fill="FFFFFF"/>
          <w:lang w:val="en-US" w:eastAsia="zh-CN" w:bidi="ar"/>
        </w:rPr>
      </w:pPr>
      <w:r>
        <w:rPr>
          <w:rFonts w:hint="eastAsia" w:ascii="宋体" w:hAnsi="宋体" w:eastAsia="宋体" w:cs="宋体"/>
          <w:b w:val="0"/>
          <w:bCs/>
          <w:kern w:val="0"/>
          <w:sz w:val="24"/>
          <w:szCs w:val="24"/>
          <w:shd w:val="clear" w:color="auto" w:fill="FFFFFF"/>
          <w:lang w:val="en-US" w:eastAsia="zh-CN" w:bidi="ar"/>
        </w:rPr>
        <w:t>6.参加校内的行前教育；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sz w:val="24"/>
          <w:szCs w:val="24"/>
        </w:rPr>
      </w:pPr>
      <w:r>
        <w:rPr>
          <w:rFonts w:hint="eastAsia" w:ascii="宋体" w:hAnsi="宋体" w:eastAsia="宋体" w:cs="宋体"/>
          <w:b w:val="0"/>
          <w:bCs/>
          <w:kern w:val="0"/>
          <w:sz w:val="24"/>
          <w:szCs w:val="24"/>
          <w:shd w:val="clear" w:color="auto" w:fill="FFFFFF"/>
          <w:lang w:val="en-US" w:eastAsia="zh-CN" w:bidi="ar"/>
        </w:rPr>
        <w:t>7.赴澳大利亚学习。</w:t>
      </w:r>
    </w:p>
    <w:p>
      <w:pPr>
        <w:rPr>
          <w:rFonts w:hint="eastAsia"/>
          <w:sz w:val="24"/>
          <w:szCs w:val="24"/>
        </w:rPr>
      </w:pPr>
      <w:r>
        <w:rPr>
          <w:rFonts w:hint="eastAsia"/>
          <w:sz w:val="24"/>
          <w:szCs w:val="24"/>
        </w:rPr>
        <w:t xml:space="preserve">  </w:t>
      </w:r>
      <w:bookmarkStart w:id="0" w:name="_GoBack"/>
      <w:bookmarkEnd w:id="0"/>
    </w:p>
    <w:p>
      <w:pPr>
        <w:rPr>
          <w:rFonts w:hint="eastAsia"/>
          <w:b/>
          <w:bCs/>
          <w:color w:val="4472C4" w:themeColor="accent5"/>
          <w:sz w:val="24"/>
          <w:szCs w:val="24"/>
          <w14:textFill>
            <w14:solidFill>
              <w14:schemeClr w14:val="accent5"/>
            </w14:solidFill>
          </w14:textFill>
        </w:rPr>
      </w:pPr>
      <w:r>
        <w:rPr>
          <w:rFonts w:hint="eastAsia"/>
          <w:b/>
          <w:bCs/>
          <w:color w:val="4472C4" w:themeColor="accent5"/>
          <w:sz w:val="24"/>
          <w:szCs w:val="24"/>
          <w14:textFill>
            <w14:solidFill>
              <w14:schemeClr w14:val="accent5"/>
            </w14:solidFill>
          </w14:textFill>
        </w:rPr>
        <w:t>联系方式：</w:t>
      </w:r>
    </w:p>
    <w:p>
      <w:pPr>
        <w:rPr>
          <w:rFonts w:hint="eastAsia"/>
          <w:b/>
          <w:bCs/>
          <w:color w:val="4472C4" w:themeColor="accent5"/>
          <w:sz w:val="24"/>
          <w:szCs w:val="24"/>
          <w14:textFill>
            <w14:solidFill>
              <w14:schemeClr w14:val="accent5"/>
            </w14:solidFill>
          </w14:textFill>
        </w:rPr>
      </w:pPr>
      <w:r>
        <w:rPr>
          <w:rFonts w:hint="eastAsia"/>
          <w:sz w:val="24"/>
          <w:szCs w:val="24"/>
          <w:lang w:eastAsia="zh-CN"/>
        </w:rPr>
        <w:t>地址：</w:t>
      </w:r>
      <w:r>
        <w:rPr>
          <w:rFonts w:hint="eastAsia"/>
          <w:sz w:val="24"/>
          <w:szCs w:val="24"/>
        </w:rPr>
        <w:t>澳洲文化体验馆：广东财经大学新图书馆101室</w:t>
      </w:r>
    </w:p>
    <w:p>
      <w:pPr>
        <w:rPr>
          <w:rFonts w:hint="eastAsia"/>
          <w:sz w:val="24"/>
          <w:szCs w:val="24"/>
        </w:rPr>
      </w:pPr>
      <w:r>
        <w:rPr>
          <w:rFonts w:hint="eastAsia"/>
          <w:sz w:val="24"/>
          <w:szCs w:val="24"/>
          <w:lang w:eastAsia="zh-CN"/>
        </w:rPr>
        <w:t>电话：</w:t>
      </w:r>
      <w:r>
        <w:rPr>
          <w:rFonts w:hint="eastAsia"/>
          <w:sz w:val="24"/>
          <w:szCs w:val="24"/>
        </w:rPr>
        <w:t>罗老师 18620715823</w:t>
      </w:r>
    </w:p>
    <w:p>
      <w:pPr>
        <w:rPr>
          <w:rFonts w:hint="eastAsia"/>
          <w:color w:val="0070C0"/>
          <w:sz w:val="24"/>
          <w:lang w:val="en-US" w:eastAsia="zh-CN"/>
        </w:rPr>
      </w:pPr>
      <w:r>
        <w:rPr>
          <w:rFonts w:hint="eastAsia"/>
          <w:sz w:val="24"/>
          <w:szCs w:val="24"/>
          <w:lang w:val="en-US" w:eastAsia="zh-CN"/>
        </w:rPr>
        <w:t xml:space="preserve">     </w:t>
      </w:r>
      <w:r>
        <w:rPr>
          <w:rFonts w:hint="eastAsia"/>
          <w:color w:val="auto"/>
          <w:sz w:val="24"/>
          <w:szCs w:val="24"/>
          <w:lang w:val="en-US" w:eastAsia="zh-CN"/>
        </w:rPr>
        <w:t xml:space="preserve"> </w:t>
      </w:r>
      <w:r>
        <w:rPr>
          <w:rFonts w:hint="eastAsia"/>
          <w:color w:val="auto"/>
          <w:sz w:val="24"/>
          <w:lang w:val="en-US" w:eastAsia="zh-CN"/>
        </w:rPr>
        <w:t>彭</w:t>
      </w:r>
      <w:r>
        <w:rPr>
          <w:rFonts w:hint="eastAsia"/>
          <w:color w:val="auto"/>
          <w:sz w:val="24"/>
          <w:lang w:eastAsia="zh-CN"/>
        </w:rPr>
        <w:t>老师</w:t>
      </w:r>
      <w:r>
        <w:rPr>
          <w:rFonts w:hint="eastAsia"/>
          <w:color w:val="auto"/>
          <w:sz w:val="24"/>
          <w:lang w:val="en-US" w:eastAsia="zh-CN"/>
        </w:rPr>
        <w:t xml:space="preserve"> 13539830163</w:t>
      </w:r>
    </w:p>
    <w:p>
      <w:pPr>
        <w:rPr>
          <w:sz w:val="24"/>
          <w:szCs w:val="24"/>
        </w:rPr>
      </w:pPr>
    </w:p>
    <w:sectPr>
      <w:pgSz w:w="11906" w:h="16838"/>
      <w:pgMar w:top="1040" w:right="1800" w:bottom="6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0D791A"/>
    <w:multiLevelType w:val="singleLevel"/>
    <w:tmpl w:val="320D791A"/>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7E46B5"/>
    <w:rsid w:val="02E35EA3"/>
    <w:rsid w:val="0B462BAF"/>
    <w:rsid w:val="0C7E46B5"/>
    <w:rsid w:val="133920B7"/>
    <w:rsid w:val="28E614CC"/>
    <w:rsid w:val="2912671B"/>
    <w:rsid w:val="2EF02C02"/>
    <w:rsid w:val="3112003E"/>
    <w:rsid w:val="381B06AE"/>
    <w:rsid w:val="3B8253C9"/>
    <w:rsid w:val="3F797120"/>
    <w:rsid w:val="421C720A"/>
    <w:rsid w:val="5433513A"/>
    <w:rsid w:val="581771D9"/>
    <w:rsid w:val="5FC60E75"/>
    <w:rsid w:val="667C334A"/>
    <w:rsid w:val="70481351"/>
    <w:rsid w:val="737878BC"/>
    <w:rsid w:val="77CF58DA"/>
    <w:rsid w:val="7C5F3794"/>
    <w:rsid w:val="7ECC02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2019-02-22T03:40:00Z</dcterms:created>
  <dc:creator>Iris</dc:creator>
  <cp:lastModifiedBy>小彤</cp:lastModifiedBy>
  <dcterms:modified xsi:type="dcterms:W3CDTF">2021-12-22T02:34:32Z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KSORubyTemplateID" linkTarget="0">
    <vt:lpwstr>6</vt:lpwstr>
  </property>
  <property fmtid="{D5CDD505-2E9C-101B-9397-08002B2CF9AE}" pid="4" name="ICV">
    <vt:lpwstr>79216D71142A4A1BBF8DB8B26955E5A6</vt:lpwstr>
  </property>
</Properties>
</file>