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spacing w:line="360" w:lineRule="auto"/>
        <w:jc w:val="right"/>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drawing>
          <wp:inline distT="0" distB="0" distL="0" distR="0">
            <wp:extent cx="857250" cy="299720"/>
            <wp:effectExtent l="0" t="0" r="0" b="508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862585" cy="301511"/>
                    </a:xfrm>
                    <a:prstGeom prst="rect">
                      <a:avLst/>
                    </a:prstGeom>
                  </pic:spPr>
                </pic:pic>
              </a:graphicData>
            </a:graphic>
          </wp:inline>
        </w:drawing>
      </w:r>
    </w:p>
    <w:p>
      <w:pPr>
        <w:widowControl/>
        <w:spacing w:line="360" w:lineRule="auto"/>
        <w:jc w:val="center"/>
        <w:rPr>
          <w:rFonts w:asciiTheme="minorHAnsi" w:hAnsiTheme="minorHAnsi" w:eastAsiaTheme="majorEastAsia" w:cstheme="minorHAnsi"/>
          <w:b/>
          <w:kern w:val="0"/>
          <w:sz w:val="32"/>
          <w:szCs w:val="21"/>
        </w:rPr>
      </w:pPr>
    </w:p>
    <w:p>
      <w:pPr>
        <w:widowControl/>
        <w:spacing w:line="360" w:lineRule="auto"/>
        <w:jc w:val="center"/>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t xml:space="preserve">加拿大多伦多大学 </w:t>
      </w:r>
    </w:p>
    <w:p>
      <w:pPr>
        <w:widowControl/>
        <w:spacing w:line="360" w:lineRule="auto"/>
        <w:jc w:val="center"/>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t>2020冬季</w:t>
      </w:r>
      <w:r>
        <w:rPr>
          <w:rFonts w:asciiTheme="minorHAnsi" w:hAnsiTheme="minorHAnsi" w:eastAsiaTheme="majorEastAsia" w:cstheme="minorHAnsi"/>
          <w:b/>
          <w:kern w:val="0"/>
          <w:sz w:val="32"/>
          <w:szCs w:val="21"/>
        </w:rPr>
        <w:t>访学项目</w:t>
      </w:r>
    </w:p>
    <w:p>
      <w:pPr>
        <w:widowControl/>
        <w:spacing w:line="360" w:lineRule="auto"/>
        <w:jc w:val="center"/>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t>英语语言项目</w:t>
      </w:r>
    </w:p>
    <w:p>
      <w:pPr>
        <w:widowControl/>
        <w:spacing w:line="360" w:lineRule="auto"/>
        <w:jc w:val="center"/>
        <w:rPr>
          <w:rFonts w:asciiTheme="minorHAnsi" w:hAnsiTheme="minorHAnsi" w:eastAsiaTheme="majorEastAsia" w:cstheme="minorHAnsi"/>
          <w:kern w:val="0"/>
          <w:sz w:val="28"/>
          <w:szCs w:val="28"/>
        </w:rPr>
      </w:pPr>
      <w:r>
        <w:rPr>
          <w:rFonts w:asciiTheme="minorHAnsi" w:hAnsiTheme="minorHAnsi" w:eastAsiaTheme="majorEastAsia" w:cstheme="minorHAnsi"/>
          <w:kern w:val="0"/>
          <w:sz w:val="28"/>
          <w:szCs w:val="28"/>
        </w:rPr>
        <w:t>University of Toronto</w:t>
      </w:r>
    </w:p>
    <w:p>
      <w:pPr>
        <w:widowControl/>
        <w:spacing w:line="360" w:lineRule="auto"/>
        <w:jc w:val="center"/>
        <w:rPr>
          <w:rFonts w:asciiTheme="minorHAnsi" w:hAnsiTheme="minorHAnsi" w:eastAsiaTheme="majorEastAsia" w:cstheme="minorHAnsi"/>
          <w:b/>
          <w:kern w:val="0"/>
          <w:sz w:val="30"/>
          <w:szCs w:val="30"/>
        </w:rPr>
      </w:pPr>
      <w:r>
        <w:rPr>
          <w:rFonts w:asciiTheme="minorHAnsi" w:hAnsiTheme="minorHAnsi" w:eastAsiaTheme="majorEastAsia" w:cstheme="minorHAnsi"/>
          <w:b/>
          <w:kern w:val="0"/>
          <w:sz w:val="30"/>
          <w:szCs w:val="30"/>
        </w:rPr>
        <w:t>English Language Program</w:t>
      </w:r>
    </w:p>
    <w:p>
      <w:pPr>
        <w:widowControl/>
        <w:spacing w:line="360" w:lineRule="auto"/>
        <w:jc w:val="center"/>
        <w:rPr>
          <w:rFonts w:cs="Calibri" w:asciiTheme="minorHAnsi" w:hAnsiTheme="minorHAnsi"/>
          <w:b/>
          <w:kern w:val="0"/>
          <w:szCs w:val="21"/>
        </w:rPr>
      </w:pPr>
      <w:r>
        <w:rPr>
          <w:rFonts w:hint="eastAsia" w:cs="Calibri" w:asciiTheme="minorHAnsi" w:hAnsiTheme="minorHAnsi"/>
          <w:b/>
          <w:kern w:val="0"/>
          <w:szCs w:val="21"/>
        </w:rPr>
        <w:t>2020年1月13日–2月7日/2月10日–3月6日</w:t>
      </w:r>
    </w:p>
    <w:p>
      <w:pPr>
        <w:widowControl/>
        <w:spacing w:line="360" w:lineRule="auto"/>
        <w:rPr>
          <w:rFonts w:cs="Calibri" w:asciiTheme="minorHAnsi" w:hAnsiTheme="minorHAnsi"/>
          <w:b/>
          <w:kern w:val="0"/>
          <w:szCs w:val="21"/>
        </w:rPr>
      </w:pPr>
    </w:p>
    <w:p>
      <w:pPr>
        <w:widowControl/>
        <w:spacing w:line="360" w:lineRule="auto"/>
        <w:jc w:val="left"/>
        <w:rPr>
          <w:rFonts w:asciiTheme="minorHAnsi" w:hAnsiTheme="minorHAnsi" w:eastAsiaTheme="majorEastAsia" w:cstheme="minorHAnsi"/>
          <w:b/>
          <w:kern w:val="0"/>
          <w:szCs w:val="21"/>
        </w:rPr>
      </w:pPr>
      <w:r>
        <w:rPr>
          <w:rFonts w:hint="eastAsia" w:asciiTheme="minorHAnsi" w:hAnsiTheme="minorHAnsi" w:eastAsiaTheme="majorEastAsia" w:cstheme="minorHAnsi"/>
          <w:b/>
          <w:kern w:val="0"/>
          <w:szCs w:val="21"/>
        </w:rPr>
        <w:t>一、项目综述</w:t>
      </w:r>
    </w:p>
    <w:p>
      <w:pPr>
        <w:widowControl/>
        <w:spacing w:line="360" w:lineRule="auto"/>
        <w:ind w:firstLine="422" w:firstLineChars="200"/>
        <w:jc w:val="left"/>
        <w:rPr>
          <w:rFonts w:asciiTheme="minorHAnsi" w:hAnsiTheme="minorHAnsi" w:eastAsiaTheme="majorEastAsia" w:cstheme="minorHAnsi"/>
          <w:kern w:val="0"/>
          <w:szCs w:val="21"/>
        </w:rPr>
      </w:pPr>
      <w:r>
        <w:rPr>
          <w:rFonts w:hint="eastAsia" w:asciiTheme="minorHAnsi" w:hAnsiTheme="minorHAnsi" w:eastAsiaTheme="majorEastAsia" w:cstheme="minorHAnsi"/>
          <w:b/>
          <w:kern w:val="0"/>
          <w:szCs w:val="21"/>
        </w:rPr>
        <w:t>多伦多大学英语语言项目</w:t>
      </w:r>
      <w:r>
        <w:rPr>
          <w:rFonts w:hint="eastAsia" w:asciiTheme="minorHAnsi" w:hAnsiTheme="minorHAnsi" w:eastAsiaTheme="majorEastAsia" w:cstheme="minorHAnsi"/>
          <w:kern w:val="0"/>
          <w:szCs w:val="21"/>
        </w:rPr>
        <w:t>（English Language Program）隶属于多伦多大学的继续教育学院(School of Continuing Studies)。学院迄今拥有近50年的丰富教学经验，每年为来自35个国家的上千名学生提供各类优质的英语学习项目，形成了实用科学的教学方法。此外，多伦多作为全球最多元化和宜居的城市之一，也为学生提供了无与伦比的语言学习环境。</w:t>
      </w:r>
    </w:p>
    <w:p>
      <w:pPr>
        <w:widowControl/>
        <w:spacing w:line="360" w:lineRule="auto"/>
        <w:ind w:left="510"/>
        <w:jc w:val="left"/>
        <w:rPr>
          <w:rFonts w:cs="Arial" w:asciiTheme="minorHAnsi" w:hAnsiTheme="minorHAnsi"/>
          <w:color w:val="333333"/>
          <w:kern w:val="0"/>
          <w:szCs w:val="21"/>
        </w:rPr>
      </w:pPr>
    </w:p>
    <w:p>
      <w:pPr>
        <w:widowControl/>
        <w:spacing w:line="360" w:lineRule="auto"/>
        <w:ind w:firstLine="420" w:firstLineChars="200"/>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全美国际教育协会作为多伦多大学英语语言学院在中国的正式授权机构，负责选拔优秀中国大学生，于2020年春季前往多伦多大学参加为期一学期的访问学习。参加项目的</w:t>
      </w:r>
      <w:r>
        <w:rPr>
          <w:rFonts w:asciiTheme="minorHAnsi" w:hAnsiTheme="minorHAnsi" w:eastAsiaTheme="majorEastAsia" w:cstheme="minorHAnsi"/>
          <w:kern w:val="0"/>
          <w:szCs w:val="21"/>
        </w:rPr>
        <w:t>学生</w:t>
      </w:r>
      <w:r>
        <w:rPr>
          <w:rFonts w:asciiTheme="minorHAnsi" w:hAnsiTheme="minorHAnsi" w:eastAsiaTheme="majorEastAsia" w:cstheme="minorHAnsi"/>
          <w:szCs w:val="21"/>
        </w:rPr>
        <w:t>可选报</w:t>
      </w:r>
      <w:r>
        <w:rPr>
          <w:rFonts w:hint="eastAsia" w:asciiTheme="minorHAnsi" w:hAnsiTheme="minorHAnsi" w:eastAsiaTheme="majorEastAsia" w:cstheme="minorHAnsi"/>
          <w:szCs w:val="21"/>
        </w:rPr>
        <w:t>语言</w:t>
      </w:r>
      <w:r>
        <w:rPr>
          <w:rFonts w:asciiTheme="minorHAnsi" w:hAnsiTheme="minorHAnsi" w:eastAsiaTheme="majorEastAsia" w:cstheme="minorHAnsi"/>
          <w:szCs w:val="21"/>
        </w:rPr>
        <w:t>文化课程</w:t>
      </w:r>
      <w:r>
        <w:rPr>
          <w:rFonts w:hint="eastAsia" w:asciiTheme="minorHAnsi" w:hAnsiTheme="minorHAnsi" w:eastAsiaTheme="majorEastAsia" w:cstheme="minorHAnsi"/>
          <w:szCs w:val="21"/>
        </w:rPr>
        <w:t>“English Plus”，并且将与其它参加语言课程的国际学生混班上课，迅速提升自身的英语水平，同时体验加拿大的社会与文化。</w:t>
      </w:r>
    </w:p>
    <w:p>
      <w:pPr>
        <w:widowControl/>
        <w:spacing w:line="360" w:lineRule="auto"/>
        <w:jc w:val="left"/>
        <w:rPr>
          <w:rFonts w:cs="Arial" w:asciiTheme="minorHAnsi" w:hAnsiTheme="minorHAnsi"/>
          <w:color w:val="333333"/>
          <w:kern w:val="0"/>
          <w:szCs w:val="21"/>
        </w:rPr>
      </w:pPr>
    </w:p>
    <w:p>
      <w:pPr>
        <w:widowControl/>
        <w:spacing w:line="360" w:lineRule="auto"/>
        <w:jc w:val="left"/>
        <w:rPr>
          <w:rFonts w:cs="Calibri" w:asciiTheme="minorHAnsi" w:hAnsiTheme="minorHAnsi"/>
          <w:b/>
          <w:szCs w:val="21"/>
        </w:rPr>
      </w:pPr>
      <w:r>
        <w:rPr>
          <w:rFonts w:hint="eastAsia" w:asciiTheme="minorHAnsi" w:hAnsiTheme="minorHAnsi" w:eastAsiaTheme="majorEastAsia" w:cstheme="minorHAnsi"/>
          <w:b/>
          <w:kern w:val="0"/>
          <w:szCs w:val="21"/>
        </w:rPr>
        <w:t>二、</w:t>
      </w:r>
      <w:r>
        <w:rPr>
          <w:rFonts w:hint="eastAsia" w:cs="Calibri" w:asciiTheme="minorHAnsi" w:hAnsiTheme="minorHAnsi"/>
          <w:b/>
          <w:szCs w:val="21"/>
        </w:rPr>
        <w:t>特色与优势</w:t>
      </w:r>
    </w:p>
    <w:p>
      <w:pPr>
        <w:widowControl/>
        <w:numPr>
          <w:ilvl w:val="0"/>
          <w:numId w:val="1"/>
        </w:numPr>
        <w:spacing w:line="360" w:lineRule="auto"/>
        <w:jc w:val="left"/>
        <w:rPr>
          <w:rFonts w:cs="Calibri" w:asciiTheme="minorHAnsi" w:hAnsiTheme="minorHAnsi"/>
          <w:szCs w:val="21"/>
        </w:rPr>
      </w:pPr>
      <w:r>
        <w:rPr>
          <w:rFonts w:hint="eastAsia" w:cs="Calibri" w:asciiTheme="minorHAnsi" w:hAnsiTheme="minorHAnsi"/>
          <w:szCs w:val="21"/>
        </w:rPr>
        <w:t>【体验北美纯正英语课程】参加加拿大名校的优质语言课程，每周20小时强化学习，有效提升语言技巧；</w:t>
      </w:r>
    </w:p>
    <w:p>
      <w:pPr>
        <w:widowControl/>
        <w:numPr>
          <w:ilvl w:val="0"/>
          <w:numId w:val="1"/>
        </w:numPr>
        <w:spacing w:line="360" w:lineRule="auto"/>
        <w:jc w:val="left"/>
        <w:rPr>
          <w:rFonts w:cs="Calibri" w:asciiTheme="minorHAnsi" w:hAnsiTheme="minorHAnsi"/>
          <w:szCs w:val="21"/>
        </w:rPr>
      </w:pPr>
      <w:r>
        <w:rPr>
          <w:rFonts w:hint="eastAsia" w:cs="Calibri" w:asciiTheme="minorHAnsi" w:hAnsiTheme="minorHAnsi"/>
          <w:szCs w:val="21"/>
        </w:rPr>
        <w:t>【多伦多大学成绩单和学习证书】获得多伦多大学出具的正式成绩单及学习证明，为个人履历添砖加瓦；</w:t>
      </w:r>
    </w:p>
    <w:p>
      <w:pPr>
        <w:widowControl/>
        <w:numPr>
          <w:ilvl w:val="0"/>
          <w:numId w:val="1"/>
        </w:numPr>
        <w:spacing w:line="360" w:lineRule="auto"/>
        <w:jc w:val="left"/>
        <w:rPr>
          <w:rFonts w:cs="Calibri" w:asciiTheme="minorHAnsi" w:hAnsiTheme="minorHAnsi"/>
          <w:szCs w:val="21"/>
        </w:rPr>
      </w:pPr>
      <w:r>
        <w:rPr>
          <w:rFonts w:hint="eastAsia" w:cs="Calibri" w:asciiTheme="minorHAnsi" w:hAnsiTheme="minorHAnsi"/>
          <w:szCs w:val="21"/>
        </w:rPr>
        <w:t>【和国际学生一起上课，结交各国好友】与来自其它国家的学生共同学习、提高跨文化沟通技能，收获知识与友谊；</w:t>
      </w:r>
    </w:p>
    <w:p>
      <w:pPr>
        <w:widowControl/>
        <w:numPr>
          <w:ilvl w:val="0"/>
          <w:numId w:val="1"/>
        </w:numPr>
        <w:spacing w:line="360" w:lineRule="auto"/>
        <w:jc w:val="left"/>
        <w:rPr>
          <w:rFonts w:cs="Calibri" w:asciiTheme="minorHAnsi" w:hAnsiTheme="minorHAnsi"/>
          <w:szCs w:val="21"/>
        </w:rPr>
      </w:pPr>
      <w:r>
        <w:rPr>
          <w:rFonts w:hint="eastAsia" w:cs="Calibri" w:asciiTheme="minorHAnsi" w:hAnsiTheme="minorHAnsi"/>
          <w:szCs w:val="21"/>
        </w:rPr>
        <w:t>【尽享校园设施与资源】 获得多伦多大学学生证，</w:t>
      </w:r>
      <w:r>
        <w:rPr>
          <w:rFonts w:hint="eastAsia" w:asciiTheme="minorHAnsi" w:hAnsiTheme="minorHAnsi" w:eastAsiaTheme="majorEastAsia" w:cstheme="minorHAnsi"/>
          <w:szCs w:val="21"/>
        </w:rPr>
        <w:t>按校方规定充分享受各类校园设施与教育资源</w:t>
      </w:r>
      <w:r>
        <w:rPr>
          <w:rFonts w:hint="eastAsia" w:cs="Calibri" w:asciiTheme="minorHAnsi" w:hAnsiTheme="minorHAnsi"/>
          <w:szCs w:val="21"/>
        </w:rPr>
        <w:t>；</w:t>
      </w:r>
    </w:p>
    <w:p>
      <w:pPr>
        <w:widowControl/>
        <w:numPr>
          <w:ilvl w:val="0"/>
          <w:numId w:val="1"/>
        </w:numPr>
        <w:spacing w:line="360" w:lineRule="auto"/>
        <w:jc w:val="left"/>
        <w:rPr>
          <w:rFonts w:cs="Calibri" w:asciiTheme="minorHAnsi" w:hAnsiTheme="minorHAnsi"/>
          <w:szCs w:val="21"/>
        </w:rPr>
      </w:pPr>
      <w:r>
        <w:drawing>
          <wp:anchor distT="0" distB="0" distL="114300" distR="114300" simplePos="0" relativeHeight="251656192" behindDoc="0" locked="0" layoutInCell="1" allowOverlap="1">
            <wp:simplePos x="0" y="0"/>
            <wp:positionH relativeFrom="column">
              <wp:posOffset>76200</wp:posOffset>
            </wp:positionH>
            <wp:positionV relativeFrom="paragraph">
              <wp:posOffset>865505</wp:posOffset>
            </wp:positionV>
            <wp:extent cx="5274310" cy="2040255"/>
            <wp:effectExtent l="0" t="0" r="2540" b="0"/>
            <wp:wrapSquare wrapText="bothSides"/>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6">
                      <a:extLst>
                        <a:ext uri="{28A0092B-C50C-407E-A947-70E740481C1C}">
                          <a14:useLocalDpi xmlns:a14="http://schemas.microsoft.com/office/drawing/2010/main" val="0"/>
                        </a:ext>
                      </a:extLst>
                    </a:blip>
                    <a:stretch>
                      <a:fillRect/>
                    </a:stretch>
                  </pic:blipFill>
                  <pic:spPr>
                    <a:xfrm>
                      <a:off x="0" y="0"/>
                      <a:ext cx="5274310" cy="2040255"/>
                    </a:xfrm>
                    <a:prstGeom prst="rect">
                      <a:avLst/>
                    </a:prstGeom>
                  </pic:spPr>
                </pic:pic>
              </a:graphicData>
            </a:graphic>
          </wp:anchor>
        </w:drawing>
      </w:r>
      <w:r>
        <w:rPr>
          <w:rFonts w:hint="eastAsia" w:cs="Calibri" w:asciiTheme="minorHAnsi" w:hAnsiTheme="minorHAnsi"/>
          <w:szCs w:val="21"/>
        </w:rPr>
        <w:t>【丰富的文化活动体验】丰富多彩的加拿大文化体验，</w:t>
      </w:r>
      <w:r>
        <w:rPr>
          <w:rFonts w:hint="eastAsia" w:asciiTheme="minorHAnsi" w:hAnsiTheme="minorHAnsi" w:eastAsiaTheme="majorEastAsia" w:cstheme="minorHAnsi"/>
          <w:szCs w:val="21"/>
        </w:rPr>
        <w:t>游览尼亚加拉瀑布、参观博物馆、参加各类体育活动</w:t>
      </w:r>
      <w:r>
        <w:rPr>
          <w:rFonts w:hint="eastAsia" w:cs="Calibri" w:asciiTheme="minorHAnsi" w:hAnsiTheme="minorHAnsi"/>
          <w:szCs w:val="21"/>
        </w:rPr>
        <w:t>等。</w:t>
      </w:r>
    </w:p>
    <w:p>
      <w:pPr>
        <w:widowControl/>
        <w:spacing w:line="360" w:lineRule="auto"/>
        <w:jc w:val="left"/>
        <w:rPr>
          <w:rFonts w:cs="Calibri" w:asciiTheme="minorHAnsi" w:hAnsiTheme="minorHAnsi"/>
          <w:szCs w:val="21"/>
        </w:rPr>
      </w:pPr>
    </w:p>
    <w:p>
      <w:pPr>
        <w:widowControl/>
        <w:spacing w:line="360" w:lineRule="auto"/>
        <w:jc w:val="left"/>
        <w:rPr>
          <w:rFonts w:asciiTheme="minorHAnsi" w:hAnsiTheme="minorHAnsi" w:eastAsiaTheme="majorEastAsia" w:cstheme="minorHAnsi"/>
          <w:b/>
          <w:bCs/>
          <w:kern w:val="0"/>
          <w:szCs w:val="21"/>
        </w:rPr>
      </w:pPr>
      <w:r>
        <w:rPr>
          <w:rFonts w:hint="eastAsia" w:asciiTheme="minorHAnsi" w:hAnsiTheme="minorHAnsi" w:eastAsiaTheme="majorEastAsia" w:cstheme="minorHAnsi"/>
          <w:b/>
          <w:bCs/>
          <w:kern w:val="0"/>
          <w:szCs w:val="21"/>
        </w:rPr>
        <w:t>三、</w:t>
      </w:r>
      <w:r>
        <w:rPr>
          <w:rFonts w:asciiTheme="minorHAnsi" w:hAnsiTheme="minorHAnsi" w:eastAsiaTheme="majorEastAsia" w:cstheme="minorHAnsi"/>
          <w:b/>
          <w:bCs/>
          <w:kern w:val="0"/>
          <w:szCs w:val="21"/>
        </w:rPr>
        <w:t>多伦多大学</w:t>
      </w:r>
      <w:r>
        <w:rPr>
          <w:rFonts w:hint="eastAsia" w:asciiTheme="minorHAnsi" w:hAnsiTheme="minorHAnsi" w:eastAsiaTheme="majorEastAsia" w:cstheme="minorHAnsi"/>
          <w:b/>
          <w:bCs/>
          <w:kern w:val="0"/>
          <w:szCs w:val="21"/>
        </w:rPr>
        <w:t>简介</w:t>
      </w:r>
    </w:p>
    <w:p>
      <w:pPr>
        <w:pStyle w:val="20"/>
        <w:widowControl/>
        <w:numPr>
          <w:ilvl w:val="0"/>
          <w:numId w:val="2"/>
        </w:numPr>
        <w:spacing w:line="360" w:lineRule="auto"/>
        <w:ind w:firstLineChars="0"/>
        <w:jc w:val="left"/>
        <w:rPr>
          <w:rFonts w:asciiTheme="minorHAnsi" w:hAnsiTheme="minorHAnsi" w:eastAsiaTheme="majorEastAsia" w:cstheme="minorHAnsi"/>
          <w:szCs w:val="21"/>
        </w:rPr>
      </w:pPr>
      <w:r>
        <w:rPr>
          <w:rFonts w:cs="Arial" w:asciiTheme="minorHAnsi" w:hAnsiTheme="minorHAnsi"/>
          <w:color w:val="333333"/>
          <w:kern w:val="0"/>
          <w:szCs w:val="21"/>
        </w:rPr>
        <w:t>始建于1827年，加拿大顶尖学府，也是世界范围享有盛誉的</w:t>
      </w:r>
      <w:r>
        <w:rPr>
          <w:rFonts w:cs="Arial" w:asciiTheme="minorHAnsi" w:hAnsiTheme="minorHAnsi"/>
          <w:bCs/>
          <w:color w:val="333333"/>
          <w:kern w:val="0"/>
          <w:szCs w:val="21"/>
        </w:rPr>
        <w:t>公立研究性大学</w:t>
      </w:r>
      <w:r>
        <w:rPr>
          <w:rFonts w:hint="eastAsia" w:cs="Arial" w:asciiTheme="minorHAnsi" w:hAnsiTheme="minorHAnsi"/>
          <w:color w:val="333333"/>
          <w:kern w:val="0"/>
          <w:szCs w:val="21"/>
        </w:rPr>
        <w:t>；</w:t>
      </w:r>
    </w:p>
    <w:p>
      <w:pPr>
        <w:pStyle w:val="20"/>
        <w:widowControl/>
        <w:numPr>
          <w:ilvl w:val="0"/>
          <w:numId w:val="2"/>
        </w:numPr>
        <w:spacing w:line="360" w:lineRule="auto"/>
        <w:ind w:firstLineChars="0"/>
        <w:jc w:val="left"/>
        <w:rPr>
          <w:rFonts w:asciiTheme="minorHAnsi" w:hAnsiTheme="minorHAnsi" w:eastAsiaTheme="majorEastAsia" w:cstheme="minorHAnsi"/>
          <w:szCs w:val="21"/>
        </w:rPr>
      </w:pPr>
      <w:r>
        <w:rPr>
          <w:rFonts w:asciiTheme="minorHAnsi" w:hAnsiTheme="minorHAnsi"/>
        </w:rPr>
        <w:t>201</w:t>
      </w:r>
      <w:r>
        <w:rPr>
          <w:rFonts w:hint="eastAsia" w:asciiTheme="minorHAnsi" w:hAnsiTheme="minorHAnsi"/>
        </w:rPr>
        <w:t>9</w:t>
      </w:r>
      <w:r>
        <w:rPr>
          <w:rFonts w:asciiTheme="minorHAnsi" w:hAnsiTheme="minorHAnsi"/>
        </w:rPr>
        <w:t>年《美国新闻与世界报道》全球大学综合排名第2</w:t>
      </w:r>
      <w:r>
        <w:rPr>
          <w:rFonts w:hint="eastAsia" w:asciiTheme="minorHAnsi" w:hAnsiTheme="minorHAnsi"/>
        </w:rPr>
        <w:t>0；2019年Times高等教育世界大学综合排名</w:t>
      </w:r>
      <w:r>
        <w:rPr>
          <w:rFonts w:asciiTheme="minorHAnsi" w:hAnsiTheme="minorHAnsi"/>
        </w:rPr>
        <w:t>第</w:t>
      </w:r>
      <w:r>
        <w:rPr>
          <w:rFonts w:hint="eastAsia" w:asciiTheme="minorHAnsi" w:hAnsiTheme="minorHAnsi"/>
        </w:rPr>
        <w:t>21</w:t>
      </w:r>
      <w:r>
        <w:rPr>
          <w:rFonts w:asciiTheme="minorHAnsi" w:hAnsiTheme="minorHAnsi"/>
        </w:rPr>
        <w:t>位</w:t>
      </w:r>
      <w:r>
        <w:rPr>
          <w:rFonts w:hint="eastAsia" w:asciiTheme="minorHAnsi" w:hAnsiTheme="minorHAnsi"/>
        </w:rPr>
        <w:t>。</w:t>
      </w:r>
      <w:r>
        <w:rPr>
          <w:rFonts w:asciiTheme="minorHAnsi" w:hAnsiTheme="minorHAnsi"/>
        </w:rPr>
        <w:t>同时，该校也是</w:t>
      </w:r>
      <w:r>
        <w:rPr>
          <w:rFonts w:cs="Arial" w:asciiTheme="minorHAnsi" w:hAnsiTheme="minorHAnsi"/>
          <w:color w:val="333333"/>
          <w:kern w:val="0"/>
        </w:rPr>
        <w:t>美国大学协会</w:t>
      </w:r>
      <w:r>
        <w:rPr>
          <w:rFonts w:cs="Arial" w:asciiTheme="minorHAnsi" w:hAnsiTheme="minorHAnsi"/>
          <w:color w:val="333333"/>
          <w:kern w:val="0"/>
          <w:szCs w:val="21"/>
        </w:rPr>
        <w:t>（北美大学联盟）中仅有的两所非美国学府之一。</w:t>
      </w:r>
    </w:p>
    <w:p>
      <w:pPr>
        <w:pStyle w:val="20"/>
        <w:widowControl/>
        <w:numPr>
          <w:ilvl w:val="0"/>
          <w:numId w:val="2"/>
        </w:numPr>
        <w:spacing w:line="360" w:lineRule="auto"/>
        <w:ind w:firstLineChars="0"/>
        <w:jc w:val="left"/>
        <w:rPr>
          <w:rFonts w:asciiTheme="minorHAnsi" w:hAnsiTheme="minorHAnsi" w:eastAsiaTheme="majorEastAsia" w:cstheme="minorHAnsi"/>
          <w:szCs w:val="21"/>
        </w:rPr>
      </w:pPr>
      <w:r>
        <w:rPr>
          <w:rFonts w:hint="eastAsia" w:cs="Arial" w:asciiTheme="minorHAnsi" w:hAnsiTheme="minorHAnsi"/>
          <w:color w:val="333333"/>
          <w:kern w:val="0"/>
          <w:szCs w:val="21"/>
        </w:rPr>
        <w:t>位于多伦多，是</w:t>
      </w:r>
      <w:r>
        <w:rPr>
          <w:rFonts w:hint="eastAsia" w:ascii="Arial" w:hAnsi="Arial" w:cs="Arial"/>
          <w:color w:val="333333"/>
          <w:kern w:val="0"/>
          <w:szCs w:val="21"/>
        </w:rPr>
        <w:t>加拿大第一大城市与北美第四大城市，也是世界著名的最多元化、最安全宜居的国际化大都市，拥有怡人的环境和高品质的生活。</w:t>
      </w:r>
    </w:p>
    <w:p>
      <w:pPr>
        <w:pStyle w:val="20"/>
        <w:widowControl/>
        <w:spacing w:line="360" w:lineRule="auto"/>
        <w:ind w:left="840" w:firstLine="0" w:firstLineChars="0"/>
        <w:jc w:val="left"/>
        <w:rPr>
          <w:rFonts w:asciiTheme="minorHAnsi" w:hAnsiTheme="minorHAnsi" w:eastAsiaTheme="majorEastAsia" w:cstheme="minorHAnsi"/>
          <w:szCs w:val="21"/>
        </w:rPr>
      </w:pPr>
    </w:p>
    <w:p>
      <w:pPr>
        <w:widowControl/>
        <w:spacing w:line="360" w:lineRule="auto"/>
        <w:jc w:val="left"/>
        <w:rPr>
          <w:rFonts w:asciiTheme="minorHAnsi" w:hAnsiTheme="minorHAnsi" w:eastAsiaTheme="majorEastAsia" w:cstheme="minorHAnsi"/>
          <w:b/>
          <w:szCs w:val="21"/>
        </w:rPr>
      </w:pPr>
      <w:r>
        <w:rPr>
          <w:rFonts w:hint="eastAsia" w:asciiTheme="minorHAnsi" w:hAnsiTheme="minorHAnsi" w:eastAsiaTheme="majorEastAsia" w:cstheme="minorHAnsi"/>
          <w:b/>
          <w:szCs w:val="21"/>
        </w:rPr>
        <w:t>四、项目详情</w:t>
      </w:r>
    </w:p>
    <w:p>
      <w:pPr>
        <w:widowControl/>
        <w:spacing w:line="360" w:lineRule="auto"/>
        <w:jc w:val="left"/>
        <w:rPr>
          <w:rFonts w:asciiTheme="minorHAnsi" w:hAnsiTheme="minorHAnsi" w:eastAsiaTheme="majorEastAsia" w:cstheme="minorHAnsi"/>
          <w:szCs w:val="21"/>
        </w:rPr>
      </w:pPr>
      <w:r>
        <w:rPr>
          <w:rFonts w:cs="Calibri" w:asciiTheme="minorHAnsi" w:hAnsiTheme="minorHAnsi"/>
          <w:szCs w:val="21"/>
        </w:rPr>
        <w:t>【</w:t>
      </w:r>
      <w:r>
        <w:rPr>
          <w:rFonts w:hint="eastAsia" w:cs="Calibri" w:asciiTheme="minorHAnsi" w:hAnsiTheme="minorHAnsi"/>
          <w:b/>
          <w:szCs w:val="21"/>
        </w:rPr>
        <w:t>课程日期</w:t>
      </w:r>
      <w:r>
        <w:rPr>
          <w:rFonts w:cs="Calibri" w:asciiTheme="minorHAnsi" w:hAnsiTheme="minorHAnsi"/>
          <w:szCs w:val="21"/>
        </w:rPr>
        <w:t>】</w:t>
      </w:r>
    </w:p>
    <w:p>
      <w:pPr>
        <w:widowControl/>
        <w:spacing w:line="360" w:lineRule="auto"/>
        <w:ind w:firstLine="420" w:firstLineChars="200"/>
        <w:jc w:val="left"/>
        <w:rPr>
          <w:rFonts w:asciiTheme="minorHAnsi" w:hAnsiTheme="minorHAnsi" w:eastAsiaTheme="majorEastAsia" w:cstheme="minorHAnsi"/>
          <w:szCs w:val="21"/>
        </w:rPr>
      </w:pPr>
      <w:r>
        <w:rPr>
          <w:rFonts w:asciiTheme="minorHAnsi" w:hAnsiTheme="minorHAnsi" w:eastAsiaTheme="majorEastAsia" w:cstheme="minorHAnsi"/>
          <w:szCs w:val="21"/>
        </w:rPr>
        <w:t>2020年</w:t>
      </w:r>
      <w:r>
        <w:rPr>
          <w:rFonts w:hint="eastAsia" w:asciiTheme="minorHAnsi" w:hAnsiTheme="minorHAnsi" w:eastAsiaTheme="majorEastAsia" w:cstheme="minorHAnsi"/>
          <w:szCs w:val="21"/>
        </w:rPr>
        <w:t>1月</w:t>
      </w:r>
      <w:r>
        <w:rPr>
          <w:rFonts w:asciiTheme="minorHAnsi" w:hAnsiTheme="minorHAnsi" w:eastAsiaTheme="majorEastAsia" w:cstheme="minorHAnsi"/>
          <w:szCs w:val="21"/>
        </w:rPr>
        <w:t>13</w:t>
      </w:r>
      <w:r>
        <w:rPr>
          <w:rFonts w:hint="eastAsia" w:asciiTheme="minorHAnsi" w:hAnsiTheme="minorHAnsi" w:eastAsiaTheme="majorEastAsia" w:cstheme="minorHAnsi"/>
          <w:szCs w:val="21"/>
        </w:rPr>
        <w:t xml:space="preserve">日 </w:t>
      </w:r>
      <w:r>
        <w:rPr>
          <w:rFonts w:asciiTheme="minorHAnsi" w:hAnsiTheme="minorHAnsi" w:eastAsiaTheme="majorEastAsia" w:cstheme="minorHAnsi"/>
          <w:szCs w:val="21"/>
        </w:rPr>
        <w:t>–</w:t>
      </w:r>
      <w:r>
        <w:rPr>
          <w:rFonts w:hint="eastAsia" w:asciiTheme="minorHAnsi" w:hAnsiTheme="minorHAnsi" w:eastAsiaTheme="majorEastAsia" w:cstheme="minorHAnsi"/>
          <w:szCs w:val="21"/>
        </w:rPr>
        <w:t xml:space="preserve"> 2月7日，或</w:t>
      </w:r>
      <w:r>
        <w:rPr>
          <w:rFonts w:asciiTheme="minorHAnsi" w:hAnsiTheme="minorHAnsi" w:eastAsiaTheme="majorEastAsia" w:cstheme="minorHAnsi"/>
          <w:szCs w:val="21"/>
        </w:rPr>
        <w:t>2月</w:t>
      </w:r>
      <w:r>
        <w:rPr>
          <w:rFonts w:hint="eastAsia" w:asciiTheme="minorHAnsi" w:hAnsiTheme="minorHAnsi" w:eastAsiaTheme="majorEastAsia" w:cstheme="minorHAnsi"/>
          <w:szCs w:val="21"/>
        </w:rPr>
        <w:t>10</w:t>
      </w:r>
      <w:r>
        <w:rPr>
          <w:rFonts w:asciiTheme="minorHAnsi" w:hAnsiTheme="minorHAnsi" w:eastAsiaTheme="majorEastAsia" w:cstheme="minorHAnsi"/>
          <w:szCs w:val="21"/>
        </w:rPr>
        <w:t>日 – 3月</w:t>
      </w:r>
      <w:r>
        <w:rPr>
          <w:rFonts w:hint="eastAsia" w:asciiTheme="minorHAnsi" w:hAnsiTheme="minorHAnsi" w:eastAsiaTheme="majorEastAsia" w:cstheme="minorHAnsi"/>
          <w:szCs w:val="21"/>
        </w:rPr>
        <w:t>6</w:t>
      </w:r>
      <w:r>
        <w:rPr>
          <w:rFonts w:asciiTheme="minorHAnsi" w:hAnsiTheme="minorHAnsi" w:eastAsiaTheme="majorEastAsia" w:cstheme="minorHAnsi"/>
          <w:szCs w:val="21"/>
        </w:rPr>
        <w:t>日</w:t>
      </w:r>
      <w:r>
        <w:rPr>
          <w:rFonts w:cs="Arial" w:asciiTheme="minorHAnsi" w:hAnsiTheme="minorHAnsi"/>
          <w:color w:val="333333"/>
          <w:kern w:val="0"/>
          <w:szCs w:val="21"/>
        </w:rPr>
        <w:t xml:space="preserve">    </w:t>
      </w:r>
      <w:r>
        <w:rPr>
          <w:rFonts w:asciiTheme="minorHAnsi" w:hAnsiTheme="minorHAnsi" w:eastAsiaTheme="majorEastAsia" w:cstheme="minorHAnsi"/>
          <w:b/>
          <w:bCs/>
          <w:kern w:val="0"/>
          <w:szCs w:val="21"/>
        </w:rPr>
        <w:br w:type="textWrapping"/>
      </w:r>
    </w:p>
    <w:p>
      <w:pPr>
        <w:widowControl/>
        <w:spacing w:line="360" w:lineRule="auto"/>
        <w:jc w:val="left"/>
        <w:rPr>
          <w:rFonts w:asciiTheme="minorHAnsi" w:hAnsiTheme="minorHAnsi" w:eastAsiaTheme="majorEastAsia" w:cstheme="minorHAnsi"/>
          <w:szCs w:val="21"/>
        </w:rPr>
      </w:pPr>
      <w:r>
        <w:rPr>
          <w:rFonts w:cs="Calibri" w:asciiTheme="minorHAnsi" w:hAnsiTheme="minorHAnsi"/>
          <w:szCs w:val="21"/>
        </w:rPr>
        <w:t>【</w:t>
      </w:r>
      <w:r>
        <w:rPr>
          <w:rFonts w:hint="eastAsia" w:cs="Calibri" w:asciiTheme="minorHAnsi" w:hAnsiTheme="minorHAnsi"/>
          <w:b/>
          <w:szCs w:val="21"/>
        </w:rPr>
        <w:t>课程内容</w:t>
      </w:r>
      <w:r>
        <w:rPr>
          <w:rFonts w:cs="Calibri" w:asciiTheme="minorHAnsi" w:hAnsiTheme="minorHAnsi"/>
          <w:szCs w:val="21"/>
        </w:rPr>
        <w:t>】</w:t>
      </w:r>
    </w:p>
    <w:p>
      <w:pPr>
        <w:widowControl/>
        <w:spacing w:line="360" w:lineRule="auto"/>
        <w:ind w:firstLine="420" w:firstLineChars="200"/>
        <w:jc w:val="left"/>
        <w:rPr>
          <w:rFonts w:asciiTheme="minorHAnsi" w:hAnsiTheme="minorHAnsi" w:eastAsiaTheme="majorEastAsia" w:cstheme="minorHAnsi"/>
          <w:szCs w:val="21"/>
        </w:rPr>
      </w:pPr>
      <w:r>
        <w:rPr>
          <w:rFonts w:asciiTheme="minorHAnsi" w:hAnsiTheme="minorHAnsi" w:eastAsiaTheme="majorEastAsia" w:cstheme="minorHAnsi"/>
          <w:kern w:val="0"/>
          <w:szCs w:val="21"/>
        </w:rPr>
        <w:t>参加多伦多大学</w:t>
      </w:r>
      <w:r>
        <w:rPr>
          <w:rFonts w:hint="eastAsia" w:asciiTheme="minorHAnsi" w:hAnsiTheme="minorHAnsi" w:eastAsiaTheme="majorEastAsia" w:cstheme="minorHAnsi"/>
          <w:kern w:val="0"/>
          <w:szCs w:val="21"/>
        </w:rPr>
        <w:t>寒假</w:t>
      </w:r>
      <w:r>
        <w:rPr>
          <w:rFonts w:asciiTheme="minorHAnsi" w:hAnsiTheme="minorHAnsi" w:eastAsiaTheme="majorEastAsia" w:cstheme="minorHAnsi"/>
          <w:kern w:val="0"/>
          <w:szCs w:val="21"/>
        </w:rPr>
        <w:t>语言项目的学生</w:t>
      </w:r>
      <w:r>
        <w:rPr>
          <w:rFonts w:asciiTheme="minorHAnsi" w:hAnsiTheme="minorHAnsi" w:eastAsiaTheme="majorEastAsia" w:cstheme="minorHAnsi"/>
          <w:szCs w:val="21"/>
        </w:rPr>
        <w:t>可选报</w:t>
      </w:r>
      <w:r>
        <w:rPr>
          <w:rFonts w:hint="eastAsia" w:asciiTheme="minorHAnsi" w:hAnsiTheme="minorHAnsi" w:eastAsiaTheme="majorEastAsia" w:cstheme="minorHAnsi"/>
          <w:szCs w:val="21"/>
        </w:rPr>
        <w:t>“高效沟通英语”课程（English for Effective Communication），或“商务沟通英语”课程（E</w:t>
      </w:r>
      <w:r>
        <w:rPr>
          <w:rFonts w:asciiTheme="minorHAnsi" w:hAnsiTheme="minorHAnsi" w:eastAsiaTheme="majorEastAsia" w:cstheme="minorHAnsi"/>
          <w:szCs w:val="21"/>
        </w:rPr>
        <w:t>nglish for Business Communication</w:t>
      </w:r>
      <w:r>
        <w:rPr>
          <w:rFonts w:hint="eastAsia" w:asciiTheme="minorHAnsi" w:hAnsiTheme="minorHAnsi" w:eastAsiaTheme="majorEastAsia" w:cstheme="minorHAnsi"/>
          <w:szCs w:val="21"/>
        </w:rPr>
        <w:t>）。</w:t>
      </w:r>
      <w:r>
        <w:rPr>
          <w:rFonts w:asciiTheme="minorHAnsi" w:hAnsiTheme="minorHAnsi" w:eastAsiaTheme="majorEastAsia" w:cstheme="minorHAnsi"/>
          <w:szCs w:val="21"/>
        </w:rPr>
        <w:t>参加项目的学生与多伦多大学在读的语言项目学生混合编班，由多大进行统一的学术管理与学术考核，获得多大正式成绩单。</w:t>
      </w:r>
    </w:p>
    <w:p>
      <w:pPr>
        <w:spacing w:line="360" w:lineRule="auto"/>
        <w:ind w:firstLine="420" w:firstLineChars="200"/>
        <w:rPr>
          <w:rFonts w:asciiTheme="minorHAnsi" w:hAnsiTheme="minorHAnsi" w:eastAsiaTheme="majorEastAsia" w:cstheme="minorHAnsi"/>
          <w:szCs w:val="21"/>
        </w:rPr>
      </w:pPr>
      <w:r>
        <w:rPr>
          <w:rFonts w:hint="eastAsia" w:asciiTheme="minorHAnsi" w:hAnsiTheme="minorHAnsi" w:eastAsiaTheme="majorEastAsia" w:cstheme="minorHAnsi"/>
          <w:szCs w:val="21"/>
        </w:rPr>
        <w:t>“高效沟通英语”课程旨在提升学生的日常英语沟通能力，每周约20学时，适合初级高级各级别的学生，主要内容包括改进口语表达、扩展词汇储备、提高听力理解、了解加拿大与北美文化、与来自各地的学生进行交流互动等。通过参加项目，学生将建立有效使用英语沟通的自信，尤其是提高听说技巧。</w:t>
      </w:r>
    </w:p>
    <w:p>
      <w:pPr>
        <w:spacing w:line="360" w:lineRule="auto"/>
        <w:ind w:firstLine="420" w:firstLineChars="200"/>
        <w:rPr>
          <w:rFonts w:cs="Calibri" w:asciiTheme="minorHAnsi" w:hAnsiTheme="minorHAnsi"/>
          <w:sz w:val="22"/>
          <w:szCs w:val="22"/>
        </w:rPr>
      </w:pPr>
      <w:r>
        <w:drawing>
          <wp:anchor distT="0" distB="0" distL="114300" distR="114300" simplePos="0" relativeHeight="251657216" behindDoc="0" locked="0" layoutInCell="1" allowOverlap="1">
            <wp:simplePos x="0" y="0"/>
            <wp:positionH relativeFrom="column">
              <wp:posOffset>0</wp:posOffset>
            </wp:positionH>
            <wp:positionV relativeFrom="paragraph">
              <wp:posOffset>991235</wp:posOffset>
            </wp:positionV>
            <wp:extent cx="5274310" cy="2045970"/>
            <wp:effectExtent l="0" t="0" r="2540" b="0"/>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5274310" cy="2045970"/>
                    </a:xfrm>
                    <a:prstGeom prst="rect">
                      <a:avLst/>
                    </a:prstGeom>
                  </pic:spPr>
                </pic:pic>
              </a:graphicData>
            </a:graphic>
          </wp:anchor>
        </w:drawing>
      </w:r>
      <w:r>
        <w:rPr>
          <w:rFonts w:hint="eastAsia" w:asciiTheme="minorHAnsi" w:hAnsiTheme="minorHAnsi" w:eastAsiaTheme="majorEastAsia" w:cstheme="minorHAnsi"/>
          <w:szCs w:val="21"/>
        </w:rPr>
        <w:t>“商务沟通英语”课程旨在提升商务情景中有效使用英语所需的技能，适合中级至高级的学生。通过完成学习任务和模拟的国际商务环境，学生能够提高商务英语听说读写技巧，从而收获职业英语运用的自信。</w:t>
      </w:r>
    </w:p>
    <w:p>
      <w:pPr>
        <w:spacing w:line="360" w:lineRule="auto"/>
        <w:rPr>
          <w:rFonts w:cs="Calibri" w:asciiTheme="minorHAnsi" w:hAnsiTheme="minorHAnsi"/>
          <w:sz w:val="22"/>
          <w:szCs w:val="22"/>
        </w:rPr>
      </w:pPr>
    </w:p>
    <w:p>
      <w:pPr>
        <w:spacing w:line="360" w:lineRule="auto"/>
        <w:rPr>
          <w:rFonts w:cs="Calibri" w:asciiTheme="minorHAnsi" w:hAnsiTheme="minorHAnsi"/>
          <w:sz w:val="22"/>
          <w:szCs w:val="22"/>
        </w:rPr>
      </w:pPr>
    </w:p>
    <w:p>
      <w:pPr>
        <w:spacing w:line="360" w:lineRule="auto"/>
        <w:ind w:firstLine="420" w:firstLineChars="200"/>
        <w:rPr>
          <w:rFonts w:cs="Calibri" w:asciiTheme="minorHAnsi" w:hAnsiTheme="minorHAnsi"/>
          <w:szCs w:val="21"/>
        </w:rPr>
      </w:pPr>
      <w:r>
        <w:rPr>
          <w:szCs w:val="21"/>
        </w:rPr>
        <w:drawing>
          <wp:anchor distT="0" distB="0" distL="114300" distR="114300" simplePos="0" relativeHeight="251660288" behindDoc="0" locked="0" layoutInCell="1" allowOverlap="1">
            <wp:simplePos x="0" y="0"/>
            <wp:positionH relativeFrom="column">
              <wp:posOffset>2762250</wp:posOffset>
            </wp:positionH>
            <wp:positionV relativeFrom="paragraph">
              <wp:posOffset>57150</wp:posOffset>
            </wp:positionV>
            <wp:extent cx="2438400" cy="1588135"/>
            <wp:effectExtent l="0" t="0" r="0" b="0"/>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2438400" cy="1588135"/>
                    </a:xfrm>
                    <a:prstGeom prst="rect">
                      <a:avLst/>
                    </a:prstGeom>
                  </pic:spPr>
                </pic:pic>
              </a:graphicData>
            </a:graphic>
          </wp:anchor>
        </w:drawing>
      </w:r>
      <w:r>
        <w:rPr>
          <w:rFonts w:hint="eastAsia" w:cs="Calibri" w:asciiTheme="minorHAnsi" w:hAnsiTheme="minorHAnsi"/>
          <w:szCs w:val="21"/>
        </w:rPr>
        <w:t>项目学生均可获得</w:t>
      </w:r>
      <w:r>
        <w:rPr>
          <w:rFonts w:hint="eastAsia" w:asciiTheme="minorHAnsi" w:hAnsiTheme="minorHAnsi" w:eastAsiaTheme="majorEastAsia" w:cstheme="minorHAnsi"/>
          <w:szCs w:val="21"/>
        </w:rPr>
        <w:t>多伦多大学</w:t>
      </w:r>
      <w:r>
        <w:rPr>
          <w:rFonts w:hint="eastAsia" w:cs="Calibri" w:asciiTheme="minorHAnsi" w:hAnsiTheme="minorHAnsi"/>
          <w:szCs w:val="21"/>
        </w:rPr>
        <w:t>正式注册的学生证，凭借学生证可在项目期内，按校方规定使用学校的校园设施与教育资源，包括图书馆、健身房、活动中心等。学生将入住当地的寄宿家庭，能够更加迅速提高自己的语言水平。</w:t>
      </w:r>
    </w:p>
    <w:p>
      <w:pPr>
        <w:spacing w:line="360" w:lineRule="auto"/>
        <w:rPr>
          <w:rFonts w:cs="Calibri" w:asciiTheme="minorHAnsi" w:hAnsiTheme="minorHAnsi"/>
          <w:sz w:val="22"/>
          <w:szCs w:val="22"/>
        </w:rPr>
      </w:pPr>
    </w:p>
    <w:p>
      <w:pPr>
        <w:spacing w:line="360" w:lineRule="auto"/>
        <w:rPr>
          <w:rFonts w:ascii="Calibri" w:hAnsi="Calibri" w:cs="Calibri"/>
        </w:rPr>
      </w:pPr>
      <w:r>
        <w:rPr>
          <w:rFonts w:cs="Calibri" w:asciiTheme="minorHAnsi" w:hAnsiTheme="minorHAnsi"/>
          <w:szCs w:val="21"/>
        </w:rPr>
        <w:t>【</w:t>
      </w:r>
      <w:r>
        <w:rPr>
          <w:rFonts w:hint="eastAsia" w:cs="Calibri" w:asciiTheme="minorHAnsi" w:hAnsiTheme="minorHAnsi"/>
          <w:b/>
          <w:szCs w:val="21"/>
        </w:rPr>
        <w:t>项目证书</w:t>
      </w:r>
      <w:r>
        <w:rPr>
          <w:rFonts w:cs="Calibri" w:asciiTheme="minorHAnsi" w:hAnsiTheme="minorHAnsi"/>
          <w:szCs w:val="21"/>
        </w:rPr>
        <w:t>】</w:t>
      </w:r>
    </w:p>
    <w:p>
      <w:pPr>
        <w:ind w:firstLine="420" w:firstLineChars="200"/>
        <w:rPr>
          <w:rFonts w:ascii="Calibri" w:hAnsi="Calibri" w:cs="Calibri"/>
        </w:rPr>
      </w:pPr>
      <w:r>
        <w:rPr>
          <w:rFonts w:hint="eastAsia" w:asciiTheme="minorHAnsi" w:hAnsiTheme="minorHAnsi" w:eastAsiaTheme="majorEastAsia" w:cstheme="minorHAnsi"/>
          <w:szCs w:val="21"/>
        </w:rPr>
        <w:t>顺利完成所有课程，并通过学术考核的学生，将获得多伦多大学出具的正式成绩单及学习证明。</w:t>
      </w:r>
    </w:p>
    <w:p>
      <w:pPr>
        <w:pStyle w:val="20"/>
        <w:widowControl/>
        <w:spacing w:line="360" w:lineRule="auto"/>
        <w:ind w:left="840" w:firstLine="0" w:firstLineChars="0"/>
        <w:jc w:val="left"/>
        <w:rPr>
          <w:rFonts w:asciiTheme="minorHAnsi" w:hAnsiTheme="minorHAnsi" w:eastAsiaTheme="majorEastAsia" w:cstheme="minorHAnsi"/>
          <w:bCs/>
          <w:kern w:val="0"/>
          <w:szCs w:val="21"/>
        </w:rPr>
      </w:pPr>
      <w:r>
        <w:drawing>
          <wp:anchor distT="0" distB="0" distL="114300" distR="114300" simplePos="0" relativeHeight="251659264" behindDoc="0" locked="0" layoutInCell="1" allowOverlap="1">
            <wp:simplePos x="0" y="0"/>
            <wp:positionH relativeFrom="column">
              <wp:posOffset>47625</wp:posOffset>
            </wp:positionH>
            <wp:positionV relativeFrom="paragraph">
              <wp:posOffset>87630</wp:posOffset>
            </wp:positionV>
            <wp:extent cx="2257425" cy="2903855"/>
            <wp:effectExtent l="0" t="0" r="9525" b="0"/>
            <wp:wrapSquare wrapText="bothSides"/>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2257425" cy="2903855"/>
                    </a:xfrm>
                    <a:prstGeom prst="rect">
                      <a:avLst/>
                    </a:prstGeom>
                  </pic:spPr>
                </pic:pic>
              </a:graphicData>
            </a:graphic>
          </wp:anchor>
        </w:drawing>
      </w:r>
    </w:p>
    <w:p>
      <w:pPr>
        <w:pStyle w:val="20"/>
        <w:widowControl/>
        <w:spacing w:line="360" w:lineRule="auto"/>
        <w:ind w:left="840" w:firstLine="0" w:firstLineChars="0"/>
        <w:jc w:val="left"/>
        <w:rPr>
          <w:rFonts w:asciiTheme="minorHAnsi" w:hAnsiTheme="minorHAnsi" w:eastAsiaTheme="majorEastAsia" w:cstheme="minorHAnsi"/>
          <w:bCs/>
          <w:kern w:val="0"/>
          <w:szCs w:val="21"/>
        </w:rPr>
      </w:pPr>
    </w:p>
    <w:p>
      <w:pPr>
        <w:pStyle w:val="20"/>
        <w:widowControl/>
        <w:spacing w:line="360" w:lineRule="auto"/>
        <w:ind w:left="840" w:firstLine="0" w:firstLineChars="0"/>
        <w:jc w:val="left"/>
        <w:rPr>
          <w:rFonts w:asciiTheme="minorHAnsi" w:hAnsiTheme="minorHAnsi" w:eastAsiaTheme="majorEastAsia" w:cstheme="minorHAnsi"/>
          <w:bCs/>
          <w:kern w:val="0"/>
          <w:szCs w:val="21"/>
        </w:rPr>
      </w:pPr>
    </w:p>
    <w:p>
      <w:pPr>
        <w:pStyle w:val="20"/>
        <w:widowControl/>
        <w:spacing w:line="360" w:lineRule="auto"/>
        <w:ind w:left="840" w:firstLine="0" w:firstLineChars="0"/>
        <w:jc w:val="left"/>
        <w:rPr>
          <w:rFonts w:asciiTheme="minorHAnsi" w:hAnsiTheme="minorHAnsi" w:eastAsiaTheme="majorEastAsia" w:cstheme="minorHAnsi"/>
          <w:bCs/>
          <w:kern w:val="0"/>
          <w:szCs w:val="21"/>
        </w:rPr>
      </w:pPr>
    </w:p>
    <w:p>
      <w:pPr>
        <w:pStyle w:val="20"/>
        <w:widowControl/>
        <w:spacing w:line="360" w:lineRule="auto"/>
        <w:ind w:left="840" w:firstLine="0" w:firstLineChars="0"/>
        <w:jc w:val="left"/>
        <w:rPr>
          <w:rFonts w:asciiTheme="minorHAnsi" w:hAnsiTheme="minorHAnsi" w:eastAsiaTheme="majorEastAsia" w:cstheme="minorHAnsi"/>
          <w:bCs/>
          <w:kern w:val="0"/>
          <w:szCs w:val="21"/>
        </w:rPr>
      </w:pPr>
    </w:p>
    <w:p>
      <w:pPr>
        <w:pStyle w:val="20"/>
        <w:widowControl/>
        <w:spacing w:line="360" w:lineRule="auto"/>
        <w:ind w:left="840" w:firstLine="0" w:firstLineChars="0"/>
        <w:jc w:val="left"/>
        <w:rPr>
          <w:rFonts w:asciiTheme="minorHAnsi" w:hAnsiTheme="minorHAnsi" w:eastAsiaTheme="majorEastAsia" w:cstheme="minorHAnsi"/>
          <w:bCs/>
          <w:kern w:val="0"/>
          <w:szCs w:val="21"/>
        </w:rPr>
      </w:pPr>
    </w:p>
    <w:p>
      <w:pPr>
        <w:pStyle w:val="20"/>
        <w:widowControl/>
        <w:spacing w:line="360" w:lineRule="auto"/>
        <w:ind w:left="840" w:firstLine="0" w:firstLineChars="0"/>
        <w:jc w:val="left"/>
        <w:rPr>
          <w:rFonts w:asciiTheme="minorHAnsi" w:hAnsiTheme="minorHAnsi" w:eastAsiaTheme="majorEastAsia" w:cstheme="minorHAnsi"/>
          <w:bCs/>
          <w:kern w:val="0"/>
          <w:szCs w:val="21"/>
        </w:rPr>
      </w:pPr>
    </w:p>
    <w:p>
      <w:pPr>
        <w:pStyle w:val="20"/>
        <w:widowControl/>
        <w:spacing w:line="360" w:lineRule="auto"/>
        <w:ind w:left="840" w:firstLine="0" w:firstLineChars="0"/>
        <w:jc w:val="left"/>
        <w:rPr>
          <w:rFonts w:asciiTheme="minorHAnsi" w:hAnsiTheme="minorHAnsi" w:eastAsiaTheme="majorEastAsia" w:cstheme="minorHAnsi"/>
          <w:bCs/>
          <w:kern w:val="0"/>
          <w:szCs w:val="21"/>
        </w:rPr>
      </w:pPr>
    </w:p>
    <w:p>
      <w:pPr>
        <w:pStyle w:val="20"/>
        <w:widowControl/>
        <w:spacing w:line="360" w:lineRule="auto"/>
        <w:ind w:left="840" w:firstLine="0" w:firstLineChars="0"/>
        <w:jc w:val="left"/>
        <w:rPr>
          <w:rFonts w:asciiTheme="minorHAnsi" w:hAnsiTheme="minorHAnsi" w:eastAsiaTheme="majorEastAsia" w:cstheme="minorHAnsi"/>
          <w:bCs/>
          <w:kern w:val="0"/>
          <w:szCs w:val="21"/>
        </w:rPr>
      </w:pPr>
    </w:p>
    <w:p>
      <w:pPr>
        <w:pStyle w:val="20"/>
        <w:widowControl/>
        <w:spacing w:line="360" w:lineRule="auto"/>
        <w:ind w:left="840" w:firstLine="0" w:firstLineChars="0"/>
        <w:jc w:val="left"/>
        <w:rPr>
          <w:rFonts w:asciiTheme="minorHAnsi" w:hAnsiTheme="minorHAnsi" w:eastAsiaTheme="majorEastAsia" w:cstheme="minorHAnsi"/>
          <w:bCs/>
          <w:kern w:val="0"/>
          <w:szCs w:val="21"/>
        </w:rPr>
      </w:pPr>
      <w:r>
        <w:rPr>
          <w:rFonts w:hint="eastAsia" w:asciiTheme="minorHAnsi" w:hAnsiTheme="minorHAnsi" w:eastAsiaTheme="majorEastAsia" w:cstheme="minorHAnsi"/>
          <w:bCs/>
          <w:kern w:val="0"/>
          <w:szCs w:val="21"/>
        </w:rPr>
        <w:t xml:space="preserve"> 图：English Plus课程项目证书样图</w:t>
      </w:r>
    </w:p>
    <w:p>
      <w:pPr>
        <w:widowControl/>
        <w:spacing w:line="360" w:lineRule="auto"/>
        <w:jc w:val="left"/>
        <w:rPr>
          <w:rFonts w:asciiTheme="minorHAnsi" w:hAnsiTheme="minorHAnsi" w:eastAsiaTheme="majorEastAsia" w:cstheme="minorHAnsi"/>
          <w:bCs/>
          <w:kern w:val="0"/>
          <w:szCs w:val="21"/>
        </w:rPr>
      </w:pPr>
    </w:p>
    <w:p>
      <w:pPr>
        <w:widowControl/>
        <w:spacing w:line="360" w:lineRule="auto"/>
        <w:jc w:val="left"/>
        <w:rPr>
          <w:rFonts w:cs="Calibri" w:asciiTheme="minorHAnsi" w:hAnsiTheme="minorHAnsi"/>
          <w:szCs w:val="21"/>
        </w:rPr>
      </w:pPr>
      <w:r>
        <w:rPr>
          <w:rFonts w:cs="Calibri" w:asciiTheme="minorHAnsi" w:hAnsiTheme="minorHAnsi"/>
          <w:szCs w:val="21"/>
        </w:rPr>
        <w:t>【</w:t>
      </w:r>
      <w:r>
        <w:rPr>
          <w:rFonts w:hint="eastAsia" w:asciiTheme="minorHAnsi" w:hAnsiTheme="minorHAnsi" w:eastAsiaTheme="majorEastAsia" w:cstheme="minorHAnsi"/>
          <w:b/>
          <w:bCs/>
          <w:kern w:val="0"/>
          <w:szCs w:val="21"/>
        </w:rPr>
        <w:t>项目</w:t>
      </w:r>
      <w:r>
        <w:rPr>
          <w:rFonts w:asciiTheme="minorHAnsi" w:hAnsiTheme="minorHAnsi" w:eastAsiaTheme="majorEastAsia" w:cstheme="minorHAnsi"/>
          <w:b/>
          <w:bCs/>
          <w:kern w:val="0"/>
          <w:szCs w:val="21"/>
        </w:rPr>
        <w:t>费用</w:t>
      </w:r>
      <w:r>
        <w:rPr>
          <w:rFonts w:cs="Calibri" w:asciiTheme="minorHAnsi" w:hAnsiTheme="minorHAnsi"/>
          <w:szCs w:val="21"/>
        </w:rPr>
        <w:t>】</w:t>
      </w:r>
    </w:p>
    <w:tbl>
      <w:tblPr>
        <w:tblStyle w:val="12"/>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51"/>
        <w:gridCol w:w="65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77" w:hRule="atLeast"/>
        </w:trPr>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项目总费用</w:t>
            </w:r>
          </w:p>
        </w:tc>
        <w:tc>
          <w:tcPr>
            <w:tcW w:w="657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约3,552加元（约合人民币1.81万元）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费用包括：</w:t>
            </w:r>
          </w:p>
        </w:tc>
        <w:tc>
          <w:tcPr>
            <w:tcW w:w="657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学费、在读期间医疗保险、及项目设计与管理费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费用不包括：</w:t>
            </w:r>
          </w:p>
        </w:tc>
        <w:tc>
          <w:tcPr>
            <w:tcW w:w="657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国际机票、签证费、住宿费、个人生活费</w:t>
            </w:r>
          </w:p>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注：</w:t>
            </w:r>
            <w:r>
              <w:rPr>
                <w:rFonts w:hint="eastAsia" w:cs="Calibri"/>
                <w:color w:val="000000"/>
                <w:sz w:val="22"/>
                <w:szCs w:val="22"/>
              </w:rPr>
              <w:t>多伦多地区的寄宿费用大约为每月</w:t>
            </w:r>
            <w:r>
              <w:rPr>
                <w:rFonts w:cs="Calibri" w:asciiTheme="minorHAnsi" w:hAnsiTheme="minorHAnsi"/>
                <w:color w:val="000000" w:themeColor="text1"/>
                <w:sz w:val="22"/>
                <w:szCs w:val="22"/>
                <w14:textFill>
                  <w14:solidFill>
                    <w14:schemeClr w14:val="tx1"/>
                  </w14:solidFill>
                </w14:textFill>
              </w:rPr>
              <w:t>1</w:t>
            </w:r>
            <w:r>
              <w:rPr>
                <w:rFonts w:hint="eastAsia" w:cs="Calibri" w:asciiTheme="minorHAnsi" w:hAnsiTheme="minorHAnsi"/>
                <w:color w:val="000000" w:themeColor="text1"/>
                <w:sz w:val="22"/>
                <w:szCs w:val="22"/>
                <w14:textFill>
                  <w14:solidFill>
                    <w14:schemeClr w14:val="tx1"/>
                  </w14:solidFill>
                </w14:textFill>
              </w:rPr>
              <w:t>,</w:t>
            </w:r>
            <w:r>
              <w:rPr>
                <w:rFonts w:cs="Calibri" w:asciiTheme="minorHAnsi" w:hAnsiTheme="minorHAnsi"/>
                <w:color w:val="000000" w:themeColor="text1"/>
                <w:sz w:val="22"/>
                <w:szCs w:val="22"/>
                <w14:textFill>
                  <w14:solidFill>
                    <w14:schemeClr w14:val="tx1"/>
                  </w14:solidFill>
                </w14:textFill>
              </w:rPr>
              <w:t>200</w:t>
            </w:r>
            <w:r>
              <w:rPr>
                <w:rFonts w:hint="eastAsia" w:cs="Calibri"/>
                <w:color w:val="000000" w:themeColor="text1"/>
                <w:sz w:val="22"/>
                <w:szCs w:val="22"/>
                <w14:textFill>
                  <w14:solidFill>
                    <w14:schemeClr w14:val="tx1"/>
                  </w14:solidFill>
                </w14:textFill>
              </w:rPr>
              <w:t>加元左右</w:t>
            </w:r>
          </w:p>
        </w:tc>
      </w:tr>
    </w:tbl>
    <w:p>
      <w:pPr>
        <w:spacing w:line="360" w:lineRule="auto"/>
        <w:rPr>
          <w:rFonts w:asciiTheme="minorHAnsi" w:hAnsiTheme="minorHAnsi" w:eastAsiaTheme="majorEastAsia" w:cstheme="minorHAnsi"/>
          <w:b/>
          <w:bCs/>
          <w:kern w:val="0"/>
          <w:szCs w:val="21"/>
        </w:rPr>
      </w:pPr>
    </w:p>
    <w:p>
      <w:pPr>
        <w:spacing w:line="360" w:lineRule="auto"/>
        <w:rPr>
          <w:rFonts w:asciiTheme="minorHAnsi" w:hAnsiTheme="minorHAnsi" w:eastAsiaTheme="majorEastAsia" w:cstheme="minorHAnsi"/>
          <w:b/>
          <w:kern w:val="0"/>
          <w:szCs w:val="21"/>
        </w:rPr>
      </w:pPr>
      <w:r>
        <w:rPr>
          <w:rFonts w:hint="eastAsia" w:asciiTheme="minorHAnsi" w:hAnsiTheme="minorHAnsi" w:eastAsiaTheme="majorEastAsia" w:cstheme="minorHAnsi"/>
          <w:b/>
          <w:bCs/>
          <w:kern w:val="0"/>
          <w:szCs w:val="21"/>
        </w:rPr>
        <w:t>五</w:t>
      </w:r>
      <w:r>
        <w:rPr>
          <w:rFonts w:asciiTheme="minorHAnsi" w:hAnsiTheme="minorHAnsi" w:eastAsiaTheme="majorEastAsia" w:cstheme="minorHAnsi"/>
          <w:b/>
          <w:bCs/>
          <w:kern w:val="0"/>
          <w:szCs w:val="21"/>
        </w:rPr>
        <w:t>、</w:t>
      </w:r>
      <w:r>
        <w:rPr>
          <w:rFonts w:hint="eastAsia" w:asciiTheme="minorHAnsi" w:hAnsiTheme="minorHAnsi" w:eastAsiaTheme="majorEastAsia" w:cstheme="minorHAnsi"/>
          <w:b/>
          <w:bCs/>
          <w:kern w:val="0"/>
          <w:szCs w:val="21"/>
        </w:rPr>
        <w:t>项目申请</w:t>
      </w:r>
    </w:p>
    <w:p>
      <w:pPr>
        <w:pStyle w:val="20"/>
        <w:numPr>
          <w:ilvl w:val="0"/>
          <w:numId w:val="3"/>
        </w:numPr>
        <w:spacing w:line="360" w:lineRule="auto"/>
        <w:ind w:firstLineChars="0"/>
        <w:rPr>
          <w:rFonts w:asciiTheme="minorHAnsi" w:hAnsiTheme="minorHAnsi" w:eastAsiaTheme="majorEastAsia" w:cstheme="minorHAnsi"/>
          <w:b/>
          <w:kern w:val="0"/>
          <w:szCs w:val="21"/>
        </w:rPr>
      </w:pPr>
      <w:r>
        <w:rPr>
          <w:rFonts w:asciiTheme="minorHAnsi" w:hAnsiTheme="minorHAnsi" w:eastAsiaTheme="majorEastAsia" w:cstheme="minorHAnsi"/>
          <w:b/>
          <w:kern w:val="0"/>
          <w:szCs w:val="21"/>
        </w:rPr>
        <w:t>项目名额</w:t>
      </w:r>
    </w:p>
    <w:p>
      <w:pPr>
        <w:widowControl/>
        <w:spacing w:line="360" w:lineRule="auto"/>
        <w:ind w:left="420" w:leftChars="100" w:hanging="210" w:hangingChars="100"/>
        <w:jc w:val="left"/>
        <w:rPr>
          <w:rFonts w:cs="Calibri" w:asciiTheme="minorHAnsi" w:hAnsiTheme="minorHAnsi"/>
          <w:szCs w:val="21"/>
        </w:rPr>
      </w:pPr>
      <w:r>
        <w:rPr>
          <w:rFonts w:cs="Calibri" w:asciiTheme="minorHAnsi" w:hAnsiTheme="minorHAnsi"/>
          <w:szCs w:val="21"/>
        </w:rPr>
        <w:t>2020年</w:t>
      </w:r>
      <w:r>
        <w:rPr>
          <w:rFonts w:hint="eastAsia" w:cs="Calibri" w:asciiTheme="minorHAnsi" w:hAnsiTheme="minorHAnsi"/>
          <w:szCs w:val="21"/>
        </w:rPr>
        <w:t>寒假</w:t>
      </w:r>
      <w:r>
        <w:rPr>
          <w:rFonts w:cs="Calibri" w:asciiTheme="minorHAnsi" w:hAnsiTheme="minorHAnsi"/>
          <w:szCs w:val="21"/>
        </w:rPr>
        <w:t>多伦多大学访学项目，我校选拔名额</w:t>
      </w:r>
      <w:bookmarkStart w:id="0" w:name="_GoBack"/>
      <w:r>
        <w:rPr>
          <w:rFonts w:cs="Calibri" w:asciiTheme="minorHAnsi" w:hAnsiTheme="minorHAnsi"/>
          <w:color w:val="auto"/>
          <w:szCs w:val="21"/>
        </w:rPr>
        <w:t>为</w:t>
      </w:r>
      <w:r>
        <w:rPr>
          <w:rFonts w:hint="eastAsia" w:cs="Calibri" w:asciiTheme="minorHAnsi" w:hAnsiTheme="minorHAnsi"/>
          <w:color w:val="auto"/>
          <w:szCs w:val="21"/>
        </w:rPr>
        <w:t>5</w:t>
      </w:r>
      <w:bookmarkEnd w:id="0"/>
      <w:r>
        <w:rPr>
          <w:rFonts w:cs="Calibri" w:asciiTheme="minorHAnsi" w:hAnsiTheme="minorHAnsi"/>
          <w:szCs w:val="21"/>
        </w:rPr>
        <w:t>名</w:t>
      </w:r>
      <w:r>
        <w:rPr>
          <w:rFonts w:hint="eastAsia" w:cs="Calibri" w:asciiTheme="minorHAnsi" w:hAnsiTheme="minorHAnsi"/>
          <w:szCs w:val="21"/>
        </w:rPr>
        <w:t>。</w:t>
      </w:r>
    </w:p>
    <w:p>
      <w:pPr>
        <w:pStyle w:val="20"/>
        <w:widowControl/>
        <w:numPr>
          <w:ilvl w:val="0"/>
          <w:numId w:val="3"/>
        </w:numPr>
        <w:spacing w:line="360" w:lineRule="auto"/>
        <w:ind w:firstLineChars="0"/>
        <w:jc w:val="left"/>
        <w:rPr>
          <w:rFonts w:cs="Calibri" w:asciiTheme="minorHAnsi" w:hAnsiTheme="minorHAnsi"/>
          <w:color w:val="auto"/>
          <w:szCs w:val="21"/>
        </w:rPr>
      </w:pPr>
      <w:r>
        <w:rPr>
          <w:rFonts w:asciiTheme="minorHAnsi" w:hAnsiTheme="minorHAnsi" w:eastAsiaTheme="majorEastAsia" w:cstheme="minorHAnsi"/>
          <w:b/>
          <w:kern w:val="0"/>
          <w:szCs w:val="21"/>
        </w:rPr>
        <w:t>项目申请截止日期</w:t>
      </w:r>
      <w:r>
        <w:rPr>
          <w:rFonts w:hint="eastAsia" w:asciiTheme="minorHAnsi" w:hAnsiTheme="minorHAnsi" w:eastAsiaTheme="majorEastAsia" w:cstheme="minorHAnsi"/>
          <w:kern w:val="0"/>
          <w:szCs w:val="21"/>
        </w:rPr>
        <w:t>：</w:t>
      </w:r>
      <w:r>
        <w:rPr>
          <w:rFonts w:hint="eastAsia" w:asciiTheme="minorHAnsi" w:hAnsiTheme="minorHAnsi" w:eastAsiaTheme="majorEastAsia" w:cstheme="minorHAnsi"/>
          <w:color w:val="auto"/>
          <w:kern w:val="0"/>
          <w:szCs w:val="21"/>
        </w:rPr>
        <w:t>2019年10月31日</w:t>
      </w:r>
    </w:p>
    <w:p>
      <w:pPr>
        <w:pStyle w:val="20"/>
        <w:widowControl/>
        <w:numPr>
          <w:ilvl w:val="0"/>
          <w:numId w:val="3"/>
        </w:numPr>
        <w:spacing w:line="360" w:lineRule="auto"/>
        <w:ind w:firstLineChars="0"/>
        <w:jc w:val="left"/>
        <w:rPr>
          <w:rFonts w:cs="Calibri" w:asciiTheme="minorHAnsi" w:hAnsiTheme="minorHAnsi"/>
          <w:szCs w:val="21"/>
        </w:rPr>
      </w:pPr>
      <w:r>
        <w:rPr>
          <w:rFonts w:asciiTheme="minorHAnsi" w:hAnsiTheme="minorHAnsi" w:eastAsiaTheme="majorEastAsia" w:cstheme="minorHAnsi"/>
          <w:b/>
          <w:kern w:val="0"/>
          <w:szCs w:val="21"/>
        </w:rPr>
        <w:t>选拔要求</w:t>
      </w:r>
    </w:p>
    <w:p>
      <w:pPr>
        <w:pStyle w:val="20"/>
        <w:numPr>
          <w:ilvl w:val="0"/>
          <w:numId w:val="4"/>
        </w:numPr>
        <w:spacing w:line="360" w:lineRule="auto"/>
        <w:ind w:left="284" w:firstLine="0" w:firstLineChars="0"/>
        <w:rPr>
          <w:rFonts w:asciiTheme="minorHAnsi" w:hAnsiTheme="minorHAnsi" w:eastAsiaTheme="majorEastAsia" w:cstheme="minorHAnsi"/>
          <w:szCs w:val="21"/>
        </w:rPr>
      </w:pPr>
      <w:r>
        <w:rPr>
          <w:rFonts w:asciiTheme="minorHAnsi" w:hAnsiTheme="minorHAnsi" w:eastAsiaTheme="majorEastAsia" w:cstheme="minorHAnsi"/>
          <w:szCs w:val="21"/>
        </w:rPr>
        <w:t>仅限本校全日制在校生；且成绩优异、道德品质好，在校期间未受过纪律处分，身心健康，能顺利完成</w:t>
      </w:r>
      <w:r>
        <w:rPr>
          <w:rFonts w:hint="eastAsia" w:asciiTheme="minorHAnsi" w:hAnsiTheme="minorHAnsi" w:eastAsiaTheme="majorEastAsia" w:cstheme="minorHAnsi"/>
          <w:szCs w:val="21"/>
        </w:rPr>
        <w:t>海外</w:t>
      </w:r>
      <w:r>
        <w:rPr>
          <w:rFonts w:asciiTheme="minorHAnsi" w:hAnsiTheme="minorHAnsi" w:eastAsiaTheme="majorEastAsia" w:cstheme="minorHAnsi"/>
          <w:szCs w:val="21"/>
        </w:rPr>
        <w:t>学习任务；</w:t>
      </w:r>
    </w:p>
    <w:p>
      <w:pPr>
        <w:pStyle w:val="20"/>
        <w:numPr>
          <w:ilvl w:val="0"/>
          <w:numId w:val="4"/>
        </w:numPr>
        <w:spacing w:line="360" w:lineRule="auto"/>
        <w:ind w:hanging="136"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英语要求：</w:t>
      </w:r>
      <w:r>
        <w:rPr>
          <w:rFonts w:asciiTheme="minorHAnsi" w:hAnsiTheme="minorHAnsi" w:eastAsiaTheme="majorEastAsia" w:cstheme="minorHAnsi"/>
          <w:szCs w:val="21"/>
        </w:rPr>
        <w:t>具有良好的英语基础</w:t>
      </w:r>
      <w:r>
        <w:rPr>
          <w:rFonts w:hint="eastAsia" w:asciiTheme="minorHAnsi" w:hAnsiTheme="minorHAnsi" w:eastAsiaTheme="majorEastAsia" w:cstheme="minorHAnsi"/>
          <w:szCs w:val="21"/>
        </w:rPr>
        <w:t>，</w:t>
      </w:r>
      <w:r>
        <w:rPr>
          <w:rFonts w:asciiTheme="minorHAnsi" w:hAnsiTheme="minorHAnsi" w:eastAsiaTheme="majorEastAsia" w:cstheme="minorHAnsi"/>
          <w:szCs w:val="21"/>
        </w:rPr>
        <w:t>入学参加语言测试</w:t>
      </w:r>
      <w:r>
        <w:rPr>
          <w:rFonts w:hint="eastAsia" w:asciiTheme="minorHAnsi" w:hAnsiTheme="minorHAnsi" w:eastAsiaTheme="majorEastAsia" w:cstheme="minorHAnsi"/>
          <w:szCs w:val="21"/>
        </w:rPr>
        <w:t xml:space="preserve"> </w:t>
      </w:r>
    </w:p>
    <w:p>
      <w:pPr>
        <w:pStyle w:val="20"/>
        <w:numPr>
          <w:ilvl w:val="0"/>
          <w:numId w:val="4"/>
        </w:numPr>
        <w:spacing w:line="360" w:lineRule="auto"/>
        <w:ind w:hanging="136" w:firstLineChars="0"/>
        <w:rPr>
          <w:rFonts w:asciiTheme="minorHAnsi" w:hAnsiTheme="minorHAnsi" w:eastAsiaTheme="majorEastAsia" w:cstheme="minorHAnsi"/>
          <w:szCs w:val="21"/>
        </w:rPr>
      </w:pPr>
      <w:r>
        <w:rPr>
          <w:rFonts w:asciiTheme="minorHAnsi" w:hAnsiTheme="minorHAnsi" w:eastAsiaTheme="majorEastAsia" w:cstheme="minorHAnsi"/>
          <w:szCs w:val="21"/>
        </w:rPr>
        <w:t>家庭具有一定经济基础，能够提供访学所需学费及生活费；</w:t>
      </w:r>
    </w:p>
    <w:p>
      <w:pPr>
        <w:pStyle w:val="20"/>
        <w:numPr>
          <w:ilvl w:val="0"/>
          <w:numId w:val="4"/>
        </w:numPr>
        <w:spacing w:line="360" w:lineRule="auto"/>
        <w:ind w:hanging="136" w:firstLineChars="0"/>
        <w:rPr>
          <w:rFonts w:asciiTheme="minorHAnsi" w:hAnsiTheme="minorHAnsi" w:eastAsiaTheme="majorEastAsia" w:cstheme="minorHAnsi"/>
          <w:szCs w:val="21"/>
        </w:rPr>
      </w:pPr>
      <w:r>
        <w:rPr>
          <w:rFonts w:asciiTheme="minorHAnsi" w:hAnsiTheme="minorHAnsi" w:eastAsiaTheme="majorEastAsia" w:cstheme="minorHAnsi"/>
          <w:szCs w:val="21"/>
        </w:rPr>
        <w:t>通过全美国际教育协会的项目面试、</w:t>
      </w:r>
      <w:r>
        <w:rPr>
          <w:rFonts w:hint="eastAsia" w:asciiTheme="minorHAnsi" w:hAnsiTheme="minorHAnsi" w:eastAsiaTheme="majorEastAsia" w:cstheme="minorHAnsi"/>
          <w:szCs w:val="21"/>
        </w:rPr>
        <w:t>加方</w:t>
      </w:r>
      <w:r>
        <w:rPr>
          <w:rFonts w:asciiTheme="minorHAnsi" w:hAnsiTheme="minorHAnsi" w:eastAsiaTheme="majorEastAsia" w:cstheme="minorHAnsi"/>
          <w:szCs w:val="21"/>
        </w:rPr>
        <w:t>大学的学术审核、以及我校院系及国际交流处的派出资格审核。</w:t>
      </w:r>
    </w:p>
    <w:p>
      <w:pPr>
        <w:pStyle w:val="20"/>
        <w:numPr>
          <w:ilvl w:val="0"/>
          <w:numId w:val="3"/>
        </w:numPr>
        <w:spacing w:line="360" w:lineRule="auto"/>
        <w:ind w:firstLineChars="0"/>
        <w:rPr>
          <w:rFonts w:asciiTheme="minorHAnsi" w:hAnsiTheme="minorHAnsi" w:eastAsiaTheme="majorEastAsia" w:cstheme="minorHAnsi"/>
          <w:b/>
          <w:kern w:val="0"/>
          <w:szCs w:val="21"/>
        </w:rPr>
      </w:pPr>
      <w:r>
        <w:rPr>
          <w:rFonts w:asciiTheme="minorHAnsi" w:hAnsiTheme="minorHAnsi" w:eastAsiaTheme="majorEastAsia" w:cstheme="minorHAnsi"/>
          <w:b/>
          <w:kern w:val="0"/>
          <w:szCs w:val="21"/>
        </w:rPr>
        <w:t>项目申请录取方式和报名流程</w:t>
      </w:r>
    </w:p>
    <w:p>
      <w:pPr>
        <w:spacing w:line="360" w:lineRule="auto"/>
        <w:ind w:firstLine="283" w:firstLineChars="135"/>
        <w:jc w:val="left"/>
        <w:rPr>
          <w:rFonts w:asciiTheme="minorHAnsi" w:hAnsiTheme="minorHAnsi" w:eastAsiaTheme="majorEastAsia" w:cstheme="minorHAnsi"/>
          <w:kern w:val="0"/>
          <w:szCs w:val="21"/>
        </w:rPr>
      </w:pPr>
      <w:r>
        <w:rPr>
          <w:rFonts w:hint="eastAsia" w:asciiTheme="minorHAnsi" w:hAnsiTheme="minorHAnsi" w:eastAsiaTheme="majorEastAsia" w:cstheme="minorHAnsi"/>
          <w:kern w:val="0"/>
          <w:szCs w:val="21"/>
        </w:rPr>
        <w:t>1） 学生</w:t>
      </w:r>
      <w:r>
        <w:rPr>
          <w:rFonts w:asciiTheme="minorHAnsi" w:hAnsiTheme="minorHAnsi" w:eastAsiaTheme="majorEastAsia" w:cstheme="minorHAnsi"/>
          <w:kern w:val="0"/>
          <w:szCs w:val="21"/>
        </w:rPr>
        <w:t>本人提出申请，</w:t>
      </w:r>
      <w:r>
        <w:rPr>
          <w:rFonts w:hint="eastAsia" w:asciiTheme="minorHAnsi" w:hAnsiTheme="minorHAnsi" w:eastAsiaTheme="majorEastAsia" w:cstheme="minorHAnsi"/>
          <w:kern w:val="0"/>
          <w:szCs w:val="21"/>
        </w:rPr>
        <w:t>在</w:t>
      </w:r>
      <w:r>
        <w:rPr>
          <w:rFonts w:asciiTheme="minorHAnsi" w:hAnsiTheme="minorHAnsi" w:eastAsiaTheme="majorEastAsia" w:cstheme="minorHAnsi"/>
          <w:kern w:val="0"/>
          <w:szCs w:val="21"/>
        </w:rPr>
        <w:t>学校国际合作交流处（外事处）报名；</w:t>
      </w:r>
    </w:p>
    <w:p>
      <w:pPr>
        <w:spacing w:line="360" w:lineRule="auto"/>
        <w:ind w:left="281" w:leftChars="134"/>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2） 同时登录项目选拔管理机构 -- 全美国际教育协会网站www.usiea.org填写《世界名校访学2019-2020学年冬春项目报名表》，网上报名的时间决定录取的顺序和安排宿舍的顺序</w:t>
      </w:r>
      <w:r>
        <w:rPr>
          <w:rFonts w:asciiTheme="minorHAnsi" w:hAnsiTheme="minorHAnsi" w:eastAsiaTheme="majorEastAsia" w:cstheme="minorHAnsi"/>
          <w:szCs w:val="21"/>
        </w:rPr>
        <w:t>；</w:t>
      </w:r>
    </w:p>
    <w:p>
      <w:pPr>
        <w:pStyle w:val="20"/>
        <w:numPr>
          <w:ilvl w:val="0"/>
          <w:numId w:val="5"/>
        </w:numPr>
        <w:spacing w:line="360" w:lineRule="auto"/>
        <w:ind w:firstLineChars="0"/>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 xml:space="preserve"> 学生申请资料经初步审核后，参加面试确定预录取名单</w:t>
      </w:r>
      <w:r>
        <w:rPr>
          <w:rFonts w:asciiTheme="minorHAnsi" w:hAnsiTheme="minorHAnsi" w:eastAsiaTheme="majorEastAsia" w:cstheme="minorHAnsi"/>
          <w:szCs w:val="21"/>
        </w:rPr>
        <w:t>；</w:t>
      </w:r>
    </w:p>
    <w:p>
      <w:pPr>
        <w:pStyle w:val="20"/>
        <w:numPr>
          <w:ilvl w:val="0"/>
          <w:numId w:val="5"/>
        </w:numPr>
        <w:spacing w:line="360" w:lineRule="auto"/>
        <w:ind w:firstLineChars="0"/>
        <w:jc w:val="left"/>
        <w:rPr>
          <w:rFonts w:ascii="Calibri" w:hAnsi="Calibri" w:cs="Calibri"/>
          <w:szCs w:val="21"/>
        </w:rPr>
      </w:pPr>
      <w:r>
        <w:rPr>
          <w:rFonts w:ascii="Calibri" w:hAnsi="Calibri" w:cs="Calibri"/>
          <w:szCs w:val="21"/>
        </w:rPr>
        <w:t>学生提交正式申请材料并缴纳项目费用，获得学校录取及签证后赴</w:t>
      </w:r>
      <w:r>
        <w:rPr>
          <w:rFonts w:hint="eastAsia" w:ascii="Calibri" w:hAnsi="Calibri" w:cs="Calibri"/>
          <w:szCs w:val="21"/>
        </w:rPr>
        <w:t>加</w:t>
      </w:r>
      <w:r>
        <w:rPr>
          <w:rFonts w:ascii="Calibri" w:hAnsi="Calibri" w:cs="Calibri"/>
          <w:szCs w:val="21"/>
        </w:rPr>
        <w:t>学习</w:t>
      </w:r>
      <w:r>
        <w:rPr>
          <w:rFonts w:hint="eastAsia" w:ascii="Calibri" w:hAnsi="Calibri" w:cs="Calibri"/>
          <w:szCs w:val="21"/>
        </w:rPr>
        <w:t>；</w:t>
      </w:r>
    </w:p>
    <w:p>
      <w:pPr>
        <w:pStyle w:val="9"/>
        <w:numPr>
          <w:ilvl w:val="0"/>
          <w:numId w:val="5"/>
        </w:numPr>
        <w:rPr>
          <w:b/>
          <w:color w:val="auto"/>
          <w:sz w:val="21"/>
          <w:szCs w:val="21"/>
        </w:rPr>
      </w:pPr>
      <w:r>
        <w:rPr>
          <w:rFonts w:hint="eastAsia"/>
          <w:b/>
          <w:color w:val="auto"/>
          <w:sz w:val="21"/>
          <w:szCs w:val="21"/>
        </w:rPr>
        <w:t>咨询电话：</w:t>
      </w:r>
    </w:p>
    <w:p>
      <w:pPr>
        <w:spacing w:line="360" w:lineRule="auto"/>
        <w:ind w:firstLine="221" w:firstLineChars="100"/>
        <w:rPr>
          <w:rFonts w:hint="eastAsia" w:ascii="宋体" w:hAnsi="宋体" w:cs="宋体"/>
          <w:b/>
          <w:kern w:val="0"/>
          <w:sz w:val="22"/>
        </w:rPr>
      </w:pPr>
      <w:r>
        <w:rPr>
          <w:rFonts w:hint="eastAsia" w:ascii="宋体" w:hAnsi="宋体" w:cs="宋体"/>
          <w:b/>
          <w:kern w:val="0"/>
          <w:sz w:val="22"/>
        </w:rPr>
        <w:t xml:space="preserve">国际交流处综合楼707 廖老师 电话：020-84096080 </w:t>
      </w:r>
    </w:p>
    <w:p>
      <w:pPr>
        <w:spacing w:line="360" w:lineRule="auto"/>
        <w:ind w:firstLine="221" w:firstLineChars="100"/>
        <w:rPr>
          <w:rFonts w:ascii="Calibri" w:hAnsi="Calibri" w:cs="Calibri"/>
          <w:b/>
          <w:kern w:val="0"/>
          <w:sz w:val="22"/>
        </w:rPr>
      </w:pPr>
      <w:r>
        <w:rPr>
          <w:rFonts w:hint="eastAsia" w:ascii="宋体" w:hAnsi="宋体" w:cs="宋体"/>
          <w:b/>
          <w:kern w:val="0"/>
          <w:sz w:val="22"/>
        </w:rPr>
        <w:t>全美国际教育协会咨询电话: 020-85558193/189 2278 094</w:t>
      </w:r>
      <w:r>
        <w:rPr>
          <w:rFonts w:hint="eastAsia" w:ascii="Calibri" w:hAnsi="Calibri" w:cs="Calibri"/>
          <w:b/>
          <w:kern w:val="0"/>
          <w:sz w:val="22"/>
        </w:rPr>
        <w:t>（微信同，周一至周五</w:t>
      </w:r>
      <w:r>
        <w:rPr>
          <w:rFonts w:ascii="Calibri" w:hAnsi="Calibri" w:cs="Calibri"/>
          <w:b/>
          <w:kern w:val="0"/>
          <w:sz w:val="22"/>
        </w:rPr>
        <w:t xml:space="preserve"> 8:30—17:30</w:t>
      </w:r>
      <w:r>
        <w:rPr>
          <w:rFonts w:hint="eastAsia" w:ascii="Calibri" w:hAnsi="Calibri" w:cs="Calibri"/>
          <w:b/>
          <w:kern w:val="0"/>
          <w:sz w:val="22"/>
        </w:rPr>
        <w:t>）</w:t>
      </w:r>
    </w:p>
    <w:p>
      <w:pPr>
        <w:spacing w:line="360" w:lineRule="auto"/>
        <w:ind w:left="360"/>
        <w:rPr>
          <w:rFonts w:asciiTheme="minorHAnsi" w:hAnsiTheme="minorHAnsi" w:eastAsiaTheme="majorEastAsia" w:cstheme="minorHAnsi"/>
          <w:szCs w:val="21"/>
        </w:rPr>
      </w:pPr>
    </w:p>
    <w:p>
      <w:pPr>
        <w:widowControl/>
        <w:spacing w:line="360" w:lineRule="auto"/>
        <w:jc w:val="left"/>
        <w:rPr>
          <w:rFonts w:cs="宋体" w:asciiTheme="minorHAnsi" w:hAnsiTheme="minorHAnsi"/>
          <w:kern w:val="0"/>
          <w:szCs w:val="21"/>
        </w:rPr>
      </w:pPr>
      <w:r>
        <w:rPr>
          <w:rFonts w:hint="eastAsia" w:cs="宋体" w:asciiTheme="minorHAnsi" w:hAnsiTheme="minorHAnsi"/>
          <w:kern w:val="0"/>
          <w:szCs w:val="21"/>
        </w:rPr>
        <w:t>———————————————————————————————————————</w:t>
      </w:r>
    </w:p>
    <w:p>
      <w:pPr>
        <w:widowControl/>
        <w:jc w:val="left"/>
        <w:rPr>
          <w:rFonts w:cs="宋体" w:asciiTheme="minorHAnsi" w:hAnsiTheme="minorHAnsi"/>
          <w:b/>
          <w:kern w:val="0"/>
          <w:sz w:val="20"/>
          <w:szCs w:val="21"/>
        </w:rPr>
      </w:pPr>
      <w:r>
        <w:rPr>
          <w:rFonts w:hint="eastAsia" w:cs="宋体" w:asciiTheme="minorHAnsi" w:hAnsiTheme="minorHAnsi"/>
          <w:b/>
          <w:kern w:val="0"/>
          <w:sz w:val="20"/>
          <w:szCs w:val="21"/>
        </w:rPr>
        <w:t>关于全美国际教育协会</w:t>
      </w:r>
    </w:p>
    <w:p>
      <w:pPr>
        <w:widowControl/>
        <w:jc w:val="left"/>
        <w:rPr>
          <w:rFonts w:cs="宋体" w:asciiTheme="minorHAnsi" w:hAnsiTheme="minorHAnsi"/>
          <w:b/>
          <w:kern w:val="0"/>
          <w:sz w:val="20"/>
          <w:szCs w:val="21"/>
        </w:rPr>
      </w:pPr>
      <w:r>
        <w:fldChar w:fldCharType="begin"/>
      </w:r>
      <w:r>
        <w:instrText xml:space="preserve"> HYPERLINK "http://www.usiea.org" </w:instrText>
      </w:r>
      <w:r>
        <w:fldChar w:fldCharType="separate"/>
      </w:r>
      <w:r>
        <w:rPr>
          <w:rFonts w:hint="eastAsia" w:cs="宋体" w:asciiTheme="minorHAnsi" w:hAnsiTheme="minorHAnsi"/>
          <w:b/>
          <w:color w:val="0068B7"/>
          <w:kern w:val="0"/>
          <w:sz w:val="20"/>
          <w:szCs w:val="21"/>
        </w:rPr>
        <w:t>www.usiea.org</w:t>
      </w:r>
      <w:r>
        <w:rPr>
          <w:rFonts w:hint="eastAsia" w:cs="宋体" w:asciiTheme="minorHAnsi" w:hAnsiTheme="minorHAnsi"/>
          <w:b/>
          <w:color w:val="0068B7"/>
          <w:kern w:val="0"/>
          <w:sz w:val="20"/>
          <w:szCs w:val="21"/>
        </w:rPr>
        <w:fldChar w:fldCharType="end"/>
      </w:r>
    </w:p>
    <w:p>
      <w:pPr>
        <w:widowControl/>
        <w:jc w:val="left"/>
        <w:rPr>
          <w:rFonts w:cs="宋体" w:asciiTheme="minorHAnsi" w:hAnsiTheme="minorHAnsi"/>
          <w:b/>
          <w:kern w:val="0"/>
          <w:sz w:val="20"/>
          <w:szCs w:val="21"/>
        </w:rPr>
      </w:pPr>
    </w:p>
    <w:p>
      <w:pPr>
        <w:widowControl/>
        <w:jc w:val="left"/>
        <w:rPr>
          <w:rFonts w:cs="宋体" w:asciiTheme="minorHAnsi" w:hAnsiTheme="minorHAnsi"/>
          <w:kern w:val="0"/>
          <w:sz w:val="20"/>
          <w:szCs w:val="21"/>
        </w:rPr>
      </w:pPr>
      <w:r>
        <w:rPr>
          <w:rFonts w:hint="eastAsia" w:cs="宋体" w:asciiTheme="minorHAnsi" w:hAnsiTheme="minorHAnsi"/>
          <w:kern w:val="0"/>
          <w:sz w:val="20"/>
          <w:szCs w:val="21"/>
        </w:rPr>
        <w:t>US International Education Association全美国际教育协会是在美国注册的非营利机构，旨在通过与中外高校的合作，为每一位大学生提供高品质的世界名校访学机会，共同培养具备全球胜任力的优秀大学生，促进不同文化间的沟通、理解与合作。</w:t>
      </w:r>
    </w:p>
    <w:p>
      <w:pPr>
        <w:widowControl/>
        <w:jc w:val="left"/>
        <w:rPr>
          <w:rFonts w:cs="宋体" w:asciiTheme="minorHAnsi" w:hAnsiTheme="minorHAnsi"/>
          <w:kern w:val="0"/>
          <w:sz w:val="20"/>
          <w:szCs w:val="21"/>
        </w:rPr>
      </w:pPr>
    </w:p>
    <w:p>
      <w:pPr>
        <w:widowControl/>
        <w:jc w:val="left"/>
        <w:rPr>
          <w:rFonts w:cs="宋体" w:asciiTheme="minorHAnsi" w:hAnsiTheme="minorHAnsi"/>
          <w:kern w:val="0"/>
          <w:sz w:val="20"/>
          <w:szCs w:val="21"/>
        </w:rPr>
      </w:pPr>
      <w:r>
        <w:rPr>
          <w:rFonts w:hint="eastAsia" w:cs="宋体" w:asciiTheme="minorHAnsi" w:hAnsiTheme="minorHAnsi"/>
          <w:kern w:val="0"/>
          <w:sz w:val="20"/>
          <w:szCs w:val="21"/>
        </w:rPr>
        <w:t>全美国际教育协会受美国宾夕法尼亚大学、哥伦比亚大学、波士顿大学、威斯康星大学麦迪逊分校、加州大学伯克利分校、加州大学圣地亚哥分校、加州大学河滨分校、英国剑桥大学、伦敦政治经济学院、加拿大多伦多大学、麦吉尔大学、英属哥伦比亚大学、澳大利亚昆士兰大学、新南威尔士大学、阿德莱德大学等20多所世界级名校的委托，与中国80多所高校合作选拔品学兼优的学生赴海外参加访学项目。</w:t>
      </w:r>
    </w:p>
    <w:p>
      <w:pPr>
        <w:widowControl/>
        <w:jc w:val="left"/>
        <w:rPr>
          <w:rFonts w:cs="宋体" w:asciiTheme="minorHAnsi" w:hAnsiTheme="minorHAnsi"/>
          <w:kern w:val="0"/>
          <w:sz w:val="20"/>
          <w:szCs w:val="21"/>
        </w:rPr>
      </w:pPr>
    </w:p>
    <w:p>
      <w:pPr>
        <w:widowControl/>
        <w:jc w:val="left"/>
        <w:rPr>
          <w:rFonts w:cs="宋体" w:asciiTheme="minorHAnsi" w:hAnsiTheme="minorHAnsi"/>
          <w:kern w:val="0"/>
          <w:sz w:val="20"/>
          <w:szCs w:val="21"/>
        </w:rPr>
      </w:pPr>
      <w:r>
        <w:rPr>
          <w:rFonts w:hint="eastAsia" w:cs="宋体" w:asciiTheme="minorHAnsi" w:hAnsiTheme="minorHAnsi"/>
          <w:kern w:val="0"/>
          <w:sz w:val="20"/>
          <w:szCs w:val="21"/>
        </w:rPr>
        <w:t>全美国际教育协会在北京、南京、杭州、广州、西安、成都、郑州设有办公室，为中国合作高校和学生提供与访学项目相关的全流程服务。</w:t>
      </w:r>
    </w:p>
    <w:p>
      <w:pPr>
        <w:spacing w:line="360" w:lineRule="auto"/>
        <w:ind w:left="360"/>
        <w:rPr>
          <w:rFonts w:asciiTheme="minorHAnsi" w:hAnsiTheme="minorHAnsi" w:eastAsiaTheme="majorEastAsia" w:cstheme="minorHAnsi"/>
          <w:szCs w:val="21"/>
        </w:rPr>
      </w:pPr>
    </w:p>
    <w:p>
      <w:pPr>
        <w:spacing w:line="360" w:lineRule="auto"/>
        <w:rPr>
          <w:rFonts w:cs="Calibri" w:asciiTheme="minorHAnsi" w:hAnsiTheme="minorHAnsi"/>
          <w:kern w:val="0"/>
          <w:sz w:val="22"/>
        </w:rPr>
      </w:pPr>
      <w:r>
        <w:rPr>
          <w:rFonts w:cs="宋体" w:asciiTheme="minorHAnsi" w:hAnsiTheme="minorHAnsi"/>
          <w:kern w:val="0"/>
          <w:sz w:val="20"/>
          <w:szCs w:val="21"/>
        </w:rPr>
        <w:t>全美国际教育协会官网：</w:t>
      </w:r>
      <w:r>
        <w:fldChar w:fldCharType="begin"/>
      </w:r>
      <w:r>
        <w:instrText xml:space="preserve"> HYPERLINK "http://www.usiea.org" </w:instrText>
      </w:r>
      <w:r>
        <w:fldChar w:fldCharType="separate"/>
      </w:r>
      <w:r>
        <w:rPr>
          <w:rFonts w:cs="Calibri" w:asciiTheme="minorHAnsi" w:hAnsiTheme="minorHAnsi"/>
          <w:color w:val="0068B7"/>
          <w:kern w:val="0"/>
          <w:sz w:val="22"/>
        </w:rPr>
        <w:t>www.usiea.org</w:t>
      </w:r>
      <w:r>
        <w:rPr>
          <w:rFonts w:cs="Calibri" w:asciiTheme="minorHAnsi" w:hAnsiTheme="minorHAnsi"/>
          <w:color w:val="0068B7"/>
          <w:kern w:val="0"/>
          <w:sz w:val="22"/>
        </w:rPr>
        <w:fldChar w:fldCharType="end"/>
      </w:r>
      <w:r>
        <w:rPr>
          <w:rFonts w:cs="Calibri" w:asciiTheme="minorHAnsi" w:hAnsiTheme="minorHAnsi"/>
          <w:kern w:val="0"/>
          <w:sz w:val="22"/>
        </w:rPr>
        <w:t xml:space="preserve"> </w:t>
      </w:r>
    </w:p>
    <w:p>
      <w:pPr>
        <w:spacing w:line="360" w:lineRule="auto"/>
        <w:rPr>
          <w:rFonts w:cs="宋体" w:asciiTheme="minorHAnsi" w:hAnsiTheme="minorHAnsi"/>
          <w:kern w:val="0"/>
          <w:sz w:val="20"/>
          <w:szCs w:val="21"/>
        </w:rPr>
      </w:pPr>
      <w:r>
        <w:rPr>
          <w:rFonts w:cs="宋体" w:asciiTheme="minorHAnsi" w:hAnsiTheme="minorHAnsi"/>
          <w:kern w:val="0"/>
          <w:sz w:val="20"/>
          <w:szCs w:val="21"/>
        </w:rPr>
        <w:t>全美国际教育协会官微：全美国际访学微刊</w:t>
      </w:r>
    </w:p>
    <w:p>
      <w:pPr>
        <w:widowControl/>
        <w:spacing w:line="360" w:lineRule="auto"/>
        <w:jc w:val="left"/>
        <w:rPr>
          <w:rFonts w:cs="Calibri" w:asciiTheme="minorHAnsi" w:hAnsiTheme="minorHAnsi"/>
          <w:kern w:val="0"/>
          <w:sz w:val="22"/>
        </w:rPr>
      </w:pPr>
      <w:r>
        <w:rPr>
          <w:rFonts w:cs="宋体" w:asciiTheme="minorHAnsi" w:hAnsiTheme="minorHAnsi"/>
          <w:kern w:val="0"/>
          <w:sz w:val="20"/>
          <w:szCs w:val="21"/>
        </w:rPr>
        <w:t>项目邮箱咨询：</w:t>
      </w:r>
      <w:r>
        <w:fldChar w:fldCharType="begin"/>
      </w:r>
      <w:r>
        <w:instrText xml:space="preserve"> HYPERLINK "mailto:visituoft@yeah.net" </w:instrText>
      </w:r>
      <w:r>
        <w:fldChar w:fldCharType="separate"/>
      </w:r>
      <w:r>
        <w:rPr>
          <w:rStyle w:val="15"/>
          <w:rFonts w:ascii="Calibri" w:hAnsi="Calibri" w:cs="Calibri"/>
          <w:kern w:val="0"/>
          <w:sz w:val="22"/>
        </w:rPr>
        <w:t>visit</w:t>
      </w:r>
      <w:r>
        <w:rPr>
          <w:rStyle w:val="15"/>
          <w:rFonts w:hint="eastAsia" w:ascii="Calibri" w:hAnsi="Calibri" w:cs="Calibri"/>
          <w:kern w:val="0"/>
          <w:sz w:val="22"/>
        </w:rPr>
        <w:t>uoft</w:t>
      </w:r>
      <w:r>
        <w:rPr>
          <w:rStyle w:val="15"/>
          <w:rFonts w:ascii="Calibri" w:hAnsi="Calibri" w:cs="Calibri"/>
          <w:kern w:val="0"/>
          <w:sz w:val="22"/>
        </w:rPr>
        <w:t>@yeah.net</w:t>
      </w:r>
      <w:r>
        <w:rPr>
          <w:rStyle w:val="15"/>
          <w:rFonts w:ascii="Calibri" w:hAnsi="Calibri" w:cs="Calibri"/>
          <w:kern w:val="0"/>
          <w:sz w:val="22"/>
        </w:rPr>
        <w:fldChar w:fldCharType="end"/>
      </w:r>
      <w:r>
        <w:rPr>
          <w:rStyle w:val="15"/>
          <w:rFonts w:ascii="Calibri" w:hAnsi="Calibri" w:cs="Calibri"/>
          <w:kern w:val="0"/>
          <w:sz w:val="22"/>
        </w:rPr>
        <w:t xml:space="preserve"> </w:t>
      </w:r>
      <w:r>
        <w:rPr>
          <w:rFonts w:asciiTheme="minorHAnsi" w:hAnsiTheme="minorHAnsi"/>
          <w:color w:val="0068B7"/>
        </w:rPr>
        <w:t xml:space="preserve"> </w:t>
      </w:r>
      <w:r>
        <w:rPr>
          <w:rFonts w:asciiTheme="minorHAnsi" w:hAnsiTheme="minorHAnsi"/>
        </w:rPr>
        <w:t xml:space="preserve"> </w:t>
      </w:r>
    </w:p>
    <w:p>
      <w:pPr>
        <w:widowControl/>
        <w:spacing w:line="360" w:lineRule="auto"/>
        <w:jc w:val="left"/>
        <w:rPr>
          <w:rFonts w:cs="Calibri" w:asciiTheme="minorHAnsi" w:hAnsiTheme="minorHAnsi"/>
          <w:kern w:val="0"/>
          <w:sz w:val="22"/>
        </w:rPr>
      </w:pPr>
    </w:p>
    <w:sectPr>
      <w:headerReference r:id="rId3" w:type="default"/>
      <w:pgSz w:w="11906" w:h="16838"/>
      <w:pgMar w:top="2025" w:right="1800" w:bottom="1440" w:left="1800" w:header="737"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Arial">
    <w:panose1 w:val="020B0604020202020204"/>
    <w:charset w:val="00"/>
    <w:family w:val="swiss"/>
    <w:pitch w:val="default"/>
    <w:sig w:usb0="E0002EFF" w:usb1="C000785B" w:usb2="00000009" w:usb3="00000000" w:csb0="400001FF" w:csb1="FFFF0000"/>
  </w:font>
  <w:font w:name="微软雅黑">
    <w:panose1 w:val="020B0503020204020204"/>
    <w:charset w:val="86"/>
    <w:family w:val="swiss"/>
    <w:pitch w:val="default"/>
    <w:sig w:usb0="80000287" w:usb1="2ACF3C50" w:usb2="00000016" w:usb3="00000000" w:csb0="0004001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0" w:lineRule="atLeast"/>
      <w:ind w:right="-336" w:rightChars="-160"/>
      <w:rPr>
        <w:rFonts w:ascii="微软雅黑" w:hAnsi="微软雅黑" w:eastAsia="微软雅黑"/>
        <w:sz w:val="30"/>
        <w:szCs w:val="30"/>
        <w:lang w:val="en-C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4D6311"/>
    <w:multiLevelType w:val="multilevel"/>
    <w:tmpl w:val="154D6311"/>
    <w:lvl w:ilvl="0" w:tentative="0">
      <w:start w:val="3"/>
      <w:numFmt w:val="decimal"/>
      <w:lvlText w:val="%1）"/>
      <w:lvlJc w:val="left"/>
      <w:pPr>
        <w:ind w:left="641" w:hanging="360"/>
      </w:pPr>
      <w:rPr>
        <w:rFonts w:hint="default"/>
      </w:rPr>
    </w:lvl>
    <w:lvl w:ilvl="1" w:tentative="0">
      <w:start w:val="1"/>
      <w:numFmt w:val="lowerLetter"/>
      <w:lvlText w:val="%2)"/>
      <w:lvlJc w:val="left"/>
      <w:pPr>
        <w:ind w:left="1121" w:hanging="420"/>
      </w:pPr>
    </w:lvl>
    <w:lvl w:ilvl="2" w:tentative="0">
      <w:start w:val="1"/>
      <w:numFmt w:val="lowerRoman"/>
      <w:lvlText w:val="%3."/>
      <w:lvlJc w:val="right"/>
      <w:pPr>
        <w:ind w:left="1541" w:hanging="420"/>
      </w:pPr>
    </w:lvl>
    <w:lvl w:ilvl="3" w:tentative="0">
      <w:start w:val="1"/>
      <w:numFmt w:val="decimal"/>
      <w:lvlText w:val="%4."/>
      <w:lvlJc w:val="left"/>
      <w:pPr>
        <w:ind w:left="1961" w:hanging="420"/>
      </w:pPr>
    </w:lvl>
    <w:lvl w:ilvl="4" w:tentative="0">
      <w:start w:val="1"/>
      <w:numFmt w:val="lowerLetter"/>
      <w:lvlText w:val="%5)"/>
      <w:lvlJc w:val="left"/>
      <w:pPr>
        <w:ind w:left="2381" w:hanging="420"/>
      </w:pPr>
    </w:lvl>
    <w:lvl w:ilvl="5" w:tentative="0">
      <w:start w:val="1"/>
      <w:numFmt w:val="lowerRoman"/>
      <w:lvlText w:val="%6."/>
      <w:lvlJc w:val="right"/>
      <w:pPr>
        <w:ind w:left="2801" w:hanging="420"/>
      </w:pPr>
    </w:lvl>
    <w:lvl w:ilvl="6" w:tentative="0">
      <w:start w:val="1"/>
      <w:numFmt w:val="decimal"/>
      <w:lvlText w:val="%7."/>
      <w:lvlJc w:val="left"/>
      <w:pPr>
        <w:ind w:left="3221" w:hanging="420"/>
      </w:pPr>
    </w:lvl>
    <w:lvl w:ilvl="7" w:tentative="0">
      <w:start w:val="1"/>
      <w:numFmt w:val="lowerLetter"/>
      <w:lvlText w:val="%8)"/>
      <w:lvlJc w:val="left"/>
      <w:pPr>
        <w:ind w:left="3641" w:hanging="420"/>
      </w:pPr>
    </w:lvl>
    <w:lvl w:ilvl="8" w:tentative="0">
      <w:start w:val="1"/>
      <w:numFmt w:val="lowerRoman"/>
      <w:lvlText w:val="%9."/>
      <w:lvlJc w:val="right"/>
      <w:pPr>
        <w:ind w:left="4061" w:hanging="420"/>
      </w:pPr>
    </w:lvl>
  </w:abstractNum>
  <w:abstractNum w:abstractNumId="1">
    <w:nsid w:val="1FCA2FC4"/>
    <w:multiLevelType w:val="multilevel"/>
    <w:tmpl w:val="1FCA2FC4"/>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2">
    <w:nsid w:val="412E4E01"/>
    <w:multiLevelType w:val="multilevel"/>
    <w:tmpl w:val="412E4E01"/>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3">
    <w:nsid w:val="6B074A81"/>
    <w:multiLevelType w:val="multilevel"/>
    <w:tmpl w:val="6B074A81"/>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77F013D8"/>
    <w:multiLevelType w:val="multilevel"/>
    <w:tmpl w:val="77F013D8"/>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1"/>
  </w:num>
  <w:num w:numId="2">
    <w:abstractNumId w:val="2"/>
  </w:num>
  <w:num w:numId="3">
    <w:abstractNumId w:val="4"/>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7"/>
  <w:doNotDisplayPageBoundaries w:val="1"/>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0A8F"/>
    <w:rsid w:val="000035D7"/>
    <w:rsid w:val="0000590A"/>
    <w:rsid w:val="00006712"/>
    <w:rsid w:val="00010F31"/>
    <w:rsid w:val="000169DD"/>
    <w:rsid w:val="000176DF"/>
    <w:rsid w:val="00022AFD"/>
    <w:rsid w:val="000230BD"/>
    <w:rsid w:val="00023476"/>
    <w:rsid w:val="000236D2"/>
    <w:rsid w:val="00024C64"/>
    <w:rsid w:val="00025206"/>
    <w:rsid w:val="00027A0F"/>
    <w:rsid w:val="0003068E"/>
    <w:rsid w:val="00030A02"/>
    <w:rsid w:val="00031403"/>
    <w:rsid w:val="000362BD"/>
    <w:rsid w:val="00040016"/>
    <w:rsid w:val="000402B0"/>
    <w:rsid w:val="00041148"/>
    <w:rsid w:val="00041BDA"/>
    <w:rsid w:val="00044B87"/>
    <w:rsid w:val="00046229"/>
    <w:rsid w:val="000519A2"/>
    <w:rsid w:val="00051A3D"/>
    <w:rsid w:val="0005389A"/>
    <w:rsid w:val="00060047"/>
    <w:rsid w:val="0006181E"/>
    <w:rsid w:val="00061D57"/>
    <w:rsid w:val="00065242"/>
    <w:rsid w:val="00067D4B"/>
    <w:rsid w:val="0007638C"/>
    <w:rsid w:val="000820F9"/>
    <w:rsid w:val="000840CC"/>
    <w:rsid w:val="0009206E"/>
    <w:rsid w:val="000954F4"/>
    <w:rsid w:val="000A0A86"/>
    <w:rsid w:val="000A2A22"/>
    <w:rsid w:val="000A4030"/>
    <w:rsid w:val="000A5251"/>
    <w:rsid w:val="000A5300"/>
    <w:rsid w:val="000B1A29"/>
    <w:rsid w:val="000B488B"/>
    <w:rsid w:val="000C2F7C"/>
    <w:rsid w:val="000C3F5B"/>
    <w:rsid w:val="000C4E56"/>
    <w:rsid w:val="000C5C18"/>
    <w:rsid w:val="000C7850"/>
    <w:rsid w:val="000C7F9A"/>
    <w:rsid w:val="000D3060"/>
    <w:rsid w:val="000D4BC5"/>
    <w:rsid w:val="000E03AC"/>
    <w:rsid w:val="000E1209"/>
    <w:rsid w:val="000E71FC"/>
    <w:rsid w:val="000E7915"/>
    <w:rsid w:val="000F10F6"/>
    <w:rsid w:val="000F140D"/>
    <w:rsid w:val="000F168E"/>
    <w:rsid w:val="000F38D7"/>
    <w:rsid w:val="000F6E7C"/>
    <w:rsid w:val="00100174"/>
    <w:rsid w:val="001013E1"/>
    <w:rsid w:val="0010196F"/>
    <w:rsid w:val="001051AF"/>
    <w:rsid w:val="00106BA3"/>
    <w:rsid w:val="00110B1F"/>
    <w:rsid w:val="00110EDA"/>
    <w:rsid w:val="0011231F"/>
    <w:rsid w:val="00112EFC"/>
    <w:rsid w:val="001131EA"/>
    <w:rsid w:val="001165AD"/>
    <w:rsid w:val="00116EF3"/>
    <w:rsid w:val="00120A5E"/>
    <w:rsid w:val="0012340B"/>
    <w:rsid w:val="0012488E"/>
    <w:rsid w:val="00124B0D"/>
    <w:rsid w:val="00125024"/>
    <w:rsid w:val="00127C1E"/>
    <w:rsid w:val="00127FE8"/>
    <w:rsid w:val="00131D30"/>
    <w:rsid w:val="00132D90"/>
    <w:rsid w:val="0013365F"/>
    <w:rsid w:val="00134011"/>
    <w:rsid w:val="00135388"/>
    <w:rsid w:val="00135F93"/>
    <w:rsid w:val="00137744"/>
    <w:rsid w:val="00143294"/>
    <w:rsid w:val="00146AB9"/>
    <w:rsid w:val="001553F4"/>
    <w:rsid w:val="00167799"/>
    <w:rsid w:val="00167C8D"/>
    <w:rsid w:val="00170451"/>
    <w:rsid w:val="00173611"/>
    <w:rsid w:val="001738F0"/>
    <w:rsid w:val="00176F21"/>
    <w:rsid w:val="00182E04"/>
    <w:rsid w:val="001834A2"/>
    <w:rsid w:val="00186190"/>
    <w:rsid w:val="00192C0F"/>
    <w:rsid w:val="001A0C7A"/>
    <w:rsid w:val="001A281F"/>
    <w:rsid w:val="001A7D56"/>
    <w:rsid w:val="001B1730"/>
    <w:rsid w:val="001C1A51"/>
    <w:rsid w:val="001C58F1"/>
    <w:rsid w:val="001C6985"/>
    <w:rsid w:val="001D2C48"/>
    <w:rsid w:val="001D4042"/>
    <w:rsid w:val="001D458C"/>
    <w:rsid w:val="001D4EF4"/>
    <w:rsid w:val="001E31D7"/>
    <w:rsid w:val="001E5D98"/>
    <w:rsid w:val="001E6096"/>
    <w:rsid w:val="001F49A8"/>
    <w:rsid w:val="001F5524"/>
    <w:rsid w:val="00201963"/>
    <w:rsid w:val="00202030"/>
    <w:rsid w:val="00203BFF"/>
    <w:rsid w:val="002133F2"/>
    <w:rsid w:val="00213D09"/>
    <w:rsid w:val="00213D47"/>
    <w:rsid w:val="0021575D"/>
    <w:rsid w:val="0021711E"/>
    <w:rsid w:val="002202A8"/>
    <w:rsid w:val="00220E2D"/>
    <w:rsid w:val="002211FB"/>
    <w:rsid w:val="0022214B"/>
    <w:rsid w:val="002274D9"/>
    <w:rsid w:val="00230EA2"/>
    <w:rsid w:val="0023347E"/>
    <w:rsid w:val="002441C6"/>
    <w:rsid w:val="0024447C"/>
    <w:rsid w:val="002449A1"/>
    <w:rsid w:val="0024592F"/>
    <w:rsid w:val="00251642"/>
    <w:rsid w:val="00255140"/>
    <w:rsid w:val="00257E0D"/>
    <w:rsid w:val="00261406"/>
    <w:rsid w:val="00261C11"/>
    <w:rsid w:val="00271BCB"/>
    <w:rsid w:val="00275270"/>
    <w:rsid w:val="0028056A"/>
    <w:rsid w:val="002852EE"/>
    <w:rsid w:val="00286D6A"/>
    <w:rsid w:val="0029179F"/>
    <w:rsid w:val="00292326"/>
    <w:rsid w:val="00295361"/>
    <w:rsid w:val="00296348"/>
    <w:rsid w:val="00297E1A"/>
    <w:rsid w:val="002A402F"/>
    <w:rsid w:val="002B38F6"/>
    <w:rsid w:val="002B61DD"/>
    <w:rsid w:val="002B7076"/>
    <w:rsid w:val="002C2028"/>
    <w:rsid w:val="002C229B"/>
    <w:rsid w:val="002C27D4"/>
    <w:rsid w:val="002C3134"/>
    <w:rsid w:val="002C6AEB"/>
    <w:rsid w:val="002C722D"/>
    <w:rsid w:val="002D04D0"/>
    <w:rsid w:val="002D30EE"/>
    <w:rsid w:val="002D76B2"/>
    <w:rsid w:val="002D7905"/>
    <w:rsid w:val="002D7B20"/>
    <w:rsid w:val="002E1476"/>
    <w:rsid w:val="002E3299"/>
    <w:rsid w:val="002E4985"/>
    <w:rsid w:val="002E64CC"/>
    <w:rsid w:val="002F04E4"/>
    <w:rsid w:val="002F1A53"/>
    <w:rsid w:val="002F3568"/>
    <w:rsid w:val="002F7AB9"/>
    <w:rsid w:val="0030157A"/>
    <w:rsid w:val="00302995"/>
    <w:rsid w:val="00303D3D"/>
    <w:rsid w:val="00314B46"/>
    <w:rsid w:val="0031712B"/>
    <w:rsid w:val="0032092A"/>
    <w:rsid w:val="00321528"/>
    <w:rsid w:val="00321717"/>
    <w:rsid w:val="00321D5F"/>
    <w:rsid w:val="003238C0"/>
    <w:rsid w:val="00330E7E"/>
    <w:rsid w:val="00330EF0"/>
    <w:rsid w:val="00333C15"/>
    <w:rsid w:val="00342D9D"/>
    <w:rsid w:val="00342E7E"/>
    <w:rsid w:val="003440CB"/>
    <w:rsid w:val="003504A0"/>
    <w:rsid w:val="00352A1D"/>
    <w:rsid w:val="00353816"/>
    <w:rsid w:val="00361CCF"/>
    <w:rsid w:val="00364A0C"/>
    <w:rsid w:val="003738EA"/>
    <w:rsid w:val="00375491"/>
    <w:rsid w:val="00376E91"/>
    <w:rsid w:val="003822A8"/>
    <w:rsid w:val="00383DCC"/>
    <w:rsid w:val="00386A4E"/>
    <w:rsid w:val="00386C51"/>
    <w:rsid w:val="00387362"/>
    <w:rsid w:val="00390C9A"/>
    <w:rsid w:val="00390FCA"/>
    <w:rsid w:val="00392494"/>
    <w:rsid w:val="00394A95"/>
    <w:rsid w:val="00396306"/>
    <w:rsid w:val="00397742"/>
    <w:rsid w:val="00397891"/>
    <w:rsid w:val="003A6BB9"/>
    <w:rsid w:val="003B4151"/>
    <w:rsid w:val="003B669C"/>
    <w:rsid w:val="003B786E"/>
    <w:rsid w:val="003C6EF7"/>
    <w:rsid w:val="003D092D"/>
    <w:rsid w:val="003D0F7B"/>
    <w:rsid w:val="003D0FE9"/>
    <w:rsid w:val="003D12FB"/>
    <w:rsid w:val="003D2BCE"/>
    <w:rsid w:val="003D4037"/>
    <w:rsid w:val="003D4529"/>
    <w:rsid w:val="003D4B46"/>
    <w:rsid w:val="003D5F48"/>
    <w:rsid w:val="003E01B3"/>
    <w:rsid w:val="003E3199"/>
    <w:rsid w:val="003E7DA0"/>
    <w:rsid w:val="003F050A"/>
    <w:rsid w:val="003F059B"/>
    <w:rsid w:val="003F50D1"/>
    <w:rsid w:val="003F5F88"/>
    <w:rsid w:val="0041273F"/>
    <w:rsid w:val="0042204E"/>
    <w:rsid w:val="00426325"/>
    <w:rsid w:val="00437A33"/>
    <w:rsid w:val="004469A3"/>
    <w:rsid w:val="0045270B"/>
    <w:rsid w:val="00454C45"/>
    <w:rsid w:val="004624BE"/>
    <w:rsid w:val="00463DED"/>
    <w:rsid w:val="00465A92"/>
    <w:rsid w:val="00465B50"/>
    <w:rsid w:val="004679CE"/>
    <w:rsid w:val="00470270"/>
    <w:rsid w:val="00471CBF"/>
    <w:rsid w:val="00472046"/>
    <w:rsid w:val="00475E73"/>
    <w:rsid w:val="0048136E"/>
    <w:rsid w:val="00485AD1"/>
    <w:rsid w:val="00486AA5"/>
    <w:rsid w:val="004878DF"/>
    <w:rsid w:val="004932B6"/>
    <w:rsid w:val="004946E0"/>
    <w:rsid w:val="00495E6D"/>
    <w:rsid w:val="004A1602"/>
    <w:rsid w:val="004A51A8"/>
    <w:rsid w:val="004B49EE"/>
    <w:rsid w:val="004B4D89"/>
    <w:rsid w:val="004B516E"/>
    <w:rsid w:val="004C0E26"/>
    <w:rsid w:val="004C343D"/>
    <w:rsid w:val="004C5277"/>
    <w:rsid w:val="004C6632"/>
    <w:rsid w:val="004D2423"/>
    <w:rsid w:val="004D3884"/>
    <w:rsid w:val="004D5BBA"/>
    <w:rsid w:val="004E0748"/>
    <w:rsid w:val="004E728E"/>
    <w:rsid w:val="004F0AAB"/>
    <w:rsid w:val="004F23F6"/>
    <w:rsid w:val="004F47B7"/>
    <w:rsid w:val="004F743F"/>
    <w:rsid w:val="004F7C1B"/>
    <w:rsid w:val="00500A8F"/>
    <w:rsid w:val="005043E9"/>
    <w:rsid w:val="00505181"/>
    <w:rsid w:val="005060F9"/>
    <w:rsid w:val="005109DD"/>
    <w:rsid w:val="0051106C"/>
    <w:rsid w:val="00512BAE"/>
    <w:rsid w:val="00513DCA"/>
    <w:rsid w:val="00520C0E"/>
    <w:rsid w:val="00522EAE"/>
    <w:rsid w:val="00524D97"/>
    <w:rsid w:val="005250F2"/>
    <w:rsid w:val="00525703"/>
    <w:rsid w:val="005260BE"/>
    <w:rsid w:val="00527573"/>
    <w:rsid w:val="005326B5"/>
    <w:rsid w:val="005339BB"/>
    <w:rsid w:val="00535F08"/>
    <w:rsid w:val="00536F45"/>
    <w:rsid w:val="00537EE6"/>
    <w:rsid w:val="005447E3"/>
    <w:rsid w:val="00547E75"/>
    <w:rsid w:val="00555016"/>
    <w:rsid w:val="00556212"/>
    <w:rsid w:val="005606AC"/>
    <w:rsid w:val="005669D8"/>
    <w:rsid w:val="0057138A"/>
    <w:rsid w:val="00572B6E"/>
    <w:rsid w:val="00572E88"/>
    <w:rsid w:val="005762B0"/>
    <w:rsid w:val="00584716"/>
    <w:rsid w:val="005849E3"/>
    <w:rsid w:val="00584E4F"/>
    <w:rsid w:val="00584E6C"/>
    <w:rsid w:val="005868F6"/>
    <w:rsid w:val="00586D6C"/>
    <w:rsid w:val="0058733F"/>
    <w:rsid w:val="00587D18"/>
    <w:rsid w:val="00593143"/>
    <w:rsid w:val="00594449"/>
    <w:rsid w:val="00596D1A"/>
    <w:rsid w:val="005A31F5"/>
    <w:rsid w:val="005A39D7"/>
    <w:rsid w:val="005A65C8"/>
    <w:rsid w:val="005B5D60"/>
    <w:rsid w:val="005B69C2"/>
    <w:rsid w:val="005C27A1"/>
    <w:rsid w:val="005C67D4"/>
    <w:rsid w:val="005C7CC0"/>
    <w:rsid w:val="005D0683"/>
    <w:rsid w:val="005D6F09"/>
    <w:rsid w:val="005E00D6"/>
    <w:rsid w:val="005E035C"/>
    <w:rsid w:val="005E1A23"/>
    <w:rsid w:val="005E525F"/>
    <w:rsid w:val="005E5A41"/>
    <w:rsid w:val="005E674A"/>
    <w:rsid w:val="005E6E17"/>
    <w:rsid w:val="005F6112"/>
    <w:rsid w:val="00602232"/>
    <w:rsid w:val="00602E62"/>
    <w:rsid w:val="00606AA2"/>
    <w:rsid w:val="00606C4F"/>
    <w:rsid w:val="006107DC"/>
    <w:rsid w:val="0061228A"/>
    <w:rsid w:val="00617A76"/>
    <w:rsid w:val="00621ED0"/>
    <w:rsid w:val="00622238"/>
    <w:rsid w:val="00624BB2"/>
    <w:rsid w:val="006316FD"/>
    <w:rsid w:val="00632329"/>
    <w:rsid w:val="006361BC"/>
    <w:rsid w:val="00636A3C"/>
    <w:rsid w:val="00637AD1"/>
    <w:rsid w:val="00642CD5"/>
    <w:rsid w:val="006452B3"/>
    <w:rsid w:val="00645792"/>
    <w:rsid w:val="0066295A"/>
    <w:rsid w:val="00663035"/>
    <w:rsid w:val="00664055"/>
    <w:rsid w:val="00666CF9"/>
    <w:rsid w:val="00667457"/>
    <w:rsid w:val="00667A61"/>
    <w:rsid w:val="00670ED6"/>
    <w:rsid w:val="00673E32"/>
    <w:rsid w:val="006740B4"/>
    <w:rsid w:val="00674734"/>
    <w:rsid w:val="0067541F"/>
    <w:rsid w:val="006858D5"/>
    <w:rsid w:val="00687DBB"/>
    <w:rsid w:val="00696B1C"/>
    <w:rsid w:val="0069732D"/>
    <w:rsid w:val="006A2B5F"/>
    <w:rsid w:val="006A32C4"/>
    <w:rsid w:val="006A72B8"/>
    <w:rsid w:val="006B576E"/>
    <w:rsid w:val="006C1F05"/>
    <w:rsid w:val="006C2070"/>
    <w:rsid w:val="006D2A5B"/>
    <w:rsid w:val="006D5B15"/>
    <w:rsid w:val="006D5C62"/>
    <w:rsid w:val="006D642C"/>
    <w:rsid w:val="006E3A9C"/>
    <w:rsid w:val="006F038D"/>
    <w:rsid w:val="006F75B2"/>
    <w:rsid w:val="00700EA9"/>
    <w:rsid w:val="0070255A"/>
    <w:rsid w:val="00705BEF"/>
    <w:rsid w:val="00706179"/>
    <w:rsid w:val="007113DD"/>
    <w:rsid w:val="0071430B"/>
    <w:rsid w:val="00720659"/>
    <w:rsid w:val="0072201D"/>
    <w:rsid w:val="00725BDB"/>
    <w:rsid w:val="00733292"/>
    <w:rsid w:val="0073607E"/>
    <w:rsid w:val="00736663"/>
    <w:rsid w:val="007368D2"/>
    <w:rsid w:val="007423FD"/>
    <w:rsid w:val="0074285A"/>
    <w:rsid w:val="00756E5C"/>
    <w:rsid w:val="00757990"/>
    <w:rsid w:val="00760C7A"/>
    <w:rsid w:val="007619AD"/>
    <w:rsid w:val="00762330"/>
    <w:rsid w:val="007640E0"/>
    <w:rsid w:val="007652B1"/>
    <w:rsid w:val="00770616"/>
    <w:rsid w:val="00770E19"/>
    <w:rsid w:val="00772E22"/>
    <w:rsid w:val="0077332B"/>
    <w:rsid w:val="00774257"/>
    <w:rsid w:val="00775505"/>
    <w:rsid w:val="00776AE1"/>
    <w:rsid w:val="00785C31"/>
    <w:rsid w:val="00793276"/>
    <w:rsid w:val="007A01B4"/>
    <w:rsid w:val="007A03BE"/>
    <w:rsid w:val="007A07E5"/>
    <w:rsid w:val="007A136C"/>
    <w:rsid w:val="007A385D"/>
    <w:rsid w:val="007A3E79"/>
    <w:rsid w:val="007A463F"/>
    <w:rsid w:val="007A7362"/>
    <w:rsid w:val="007B0667"/>
    <w:rsid w:val="007B5A17"/>
    <w:rsid w:val="007B648A"/>
    <w:rsid w:val="007B7729"/>
    <w:rsid w:val="007C2153"/>
    <w:rsid w:val="007C66DE"/>
    <w:rsid w:val="007D0768"/>
    <w:rsid w:val="007D224F"/>
    <w:rsid w:val="007D62F3"/>
    <w:rsid w:val="007E0C8A"/>
    <w:rsid w:val="007E0E50"/>
    <w:rsid w:val="007E3816"/>
    <w:rsid w:val="007E513A"/>
    <w:rsid w:val="007F5700"/>
    <w:rsid w:val="007F79E2"/>
    <w:rsid w:val="00802548"/>
    <w:rsid w:val="00802957"/>
    <w:rsid w:val="00802B47"/>
    <w:rsid w:val="008062A9"/>
    <w:rsid w:val="00814AA6"/>
    <w:rsid w:val="008153A8"/>
    <w:rsid w:val="008267EE"/>
    <w:rsid w:val="0083050D"/>
    <w:rsid w:val="00832E9B"/>
    <w:rsid w:val="00833AB0"/>
    <w:rsid w:val="00834717"/>
    <w:rsid w:val="0084273E"/>
    <w:rsid w:val="008432ED"/>
    <w:rsid w:val="00843F7D"/>
    <w:rsid w:val="008450F3"/>
    <w:rsid w:val="00855260"/>
    <w:rsid w:val="00860271"/>
    <w:rsid w:val="0086227D"/>
    <w:rsid w:val="00863FEE"/>
    <w:rsid w:val="008653E0"/>
    <w:rsid w:val="008730BB"/>
    <w:rsid w:val="00880B5C"/>
    <w:rsid w:val="00881CA9"/>
    <w:rsid w:val="00883821"/>
    <w:rsid w:val="0088500C"/>
    <w:rsid w:val="0088679A"/>
    <w:rsid w:val="0089014A"/>
    <w:rsid w:val="008902CF"/>
    <w:rsid w:val="008966E9"/>
    <w:rsid w:val="008B188A"/>
    <w:rsid w:val="008B4A3B"/>
    <w:rsid w:val="008B56E5"/>
    <w:rsid w:val="008B6065"/>
    <w:rsid w:val="008C1F77"/>
    <w:rsid w:val="008D1223"/>
    <w:rsid w:val="008D170A"/>
    <w:rsid w:val="008D3CFE"/>
    <w:rsid w:val="008D5E6C"/>
    <w:rsid w:val="008D7F16"/>
    <w:rsid w:val="008E08E2"/>
    <w:rsid w:val="008E160B"/>
    <w:rsid w:val="008E4534"/>
    <w:rsid w:val="008E54DB"/>
    <w:rsid w:val="008E7ACE"/>
    <w:rsid w:val="008F1045"/>
    <w:rsid w:val="009018E4"/>
    <w:rsid w:val="00903BED"/>
    <w:rsid w:val="00905613"/>
    <w:rsid w:val="00905BF1"/>
    <w:rsid w:val="009111B0"/>
    <w:rsid w:val="00913572"/>
    <w:rsid w:val="00915EF9"/>
    <w:rsid w:val="009171E7"/>
    <w:rsid w:val="00917662"/>
    <w:rsid w:val="00917A3B"/>
    <w:rsid w:val="0092087F"/>
    <w:rsid w:val="0092377F"/>
    <w:rsid w:val="009308D8"/>
    <w:rsid w:val="00930DF7"/>
    <w:rsid w:val="00936821"/>
    <w:rsid w:val="00936E5D"/>
    <w:rsid w:val="0094276A"/>
    <w:rsid w:val="00942C75"/>
    <w:rsid w:val="00951195"/>
    <w:rsid w:val="00952045"/>
    <w:rsid w:val="00952BA5"/>
    <w:rsid w:val="009554FB"/>
    <w:rsid w:val="00957EEC"/>
    <w:rsid w:val="00963696"/>
    <w:rsid w:val="009642E6"/>
    <w:rsid w:val="009645E2"/>
    <w:rsid w:val="00965CCC"/>
    <w:rsid w:val="00972BCD"/>
    <w:rsid w:val="0097304E"/>
    <w:rsid w:val="0097647D"/>
    <w:rsid w:val="00976B70"/>
    <w:rsid w:val="00983752"/>
    <w:rsid w:val="00983EF6"/>
    <w:rsid w:val="009927BE"/>
    <w:rsid w:val="00994EDE"/>
    <w:rsid w:val="009959F3"/>
    <w:rsid w:val="00995FFE"/>
    <w:rsid w:val="009A11C1"/>
    <w:rsid w:val="009A27F7"/>
    <w:rsid w:val="009A292D"/>
    <w:rsid w:val="009A4CAF"/>
    <w:rsid w:val="009A69B5"/>
    <w:rsid w:val="009B0D73"/>
    <w:rsid w:val="009B3167"/>
    <w:rsid w:val="009B34FA"/>
    <w:rsid w:val="009C020C"/>
    <w:rsid w:val="009C44ED"/>
    <w:rsid w:val="009C4A58"/>
    <w:rsid w:val="009C5700"/>
    <w:rsid w:val="009C5D67"/>
    <w:rsid w:val="009C5FEE"/>
    <w:rsid w:val="009C6763"/>
    <w:rsid w:val="009C698C"/>
    <w:rsid w:val="009C7A2D"/>
    <w:rsid w:val="009C7CE4"/>
    <w:rsid w:val="009D72F9"/>
    <w:rsid w:val="009E18AF"/>
    <w:rsid w:val="009E4A3B"/>
    <w:rsid w:val="009E5D88"/>
    <w:rsid w:val="009F0653"/>
    <w:rsid w:val="009F09C7"/>
    <w:rsid w:val="009F29A2"/>
    <w:rsid w:val="009F7FCB"/>
    <w:rsid w:val="00A00B17"/>
    <w:rsid w:val="00A01568"/>
    <w:rsid w:val="00A057AC"/>
    <w:rsid w:val="00A1042E"/>
    <w:rsid w:val="00A16D24"/>
    <w:rsid w:val="00A16E97"/>
    <w:rsid w:val="00A1794D"/>
    <w:rsid w:val="00A207E1"/>
    <w:rsid w:val="00A220C6"/>
    <w:rsid w:val="00A2358C"/>
    <w:rsid w:val="00A2663A"/>
    <w:rsid w:val="00A31C85"/>
    <w:rsid w:val="00A32C2E"/>
    <w:rsid w:val="00A33A9E"/>
    <w:rsid w:val="00A44B61"/>
    <w:rsid w:val="00A45DC2"/>
    <w:rsid w:val="00A5260B"/>
    <w:rsid w:val="00A61F62"/>
    <w:rsid w:val="00A623DF"/>
    <w:rsid w:val="00A669CF"/>
    <w:rsid w:val="00A67B5E"/>
    <w:rsid w:val="00A72E16"/>
    <w:rsid w:val="00A730D0"/>
    <w:rsid w:val="00A76003"/>
    <w:rsid w:val="00A76D78"/>
    <w:rsid w:val="00A83140"/>
    <w:rsid w:val="00A843DA"/>
    <w:rsid w:val="00A84830"/>
    <w:rsid w:val="00A96197"/>
    <w:rsid w:val="00AA2334"/>
    <w:rsid w:val="00AA4DC4"/>
    <w:rsid w:val="00AB05C6"/>
    <w:rsid w:val="00AB3244"/>
    <w:rsid w:val="00AB66D7"/>
    <w:rsid w:val="00AB694F"/>
    <w:rsid w:val="00AC32C6"/>
    <w:rsid w:val="00AD7BA1"/>
    <w:rsid w:val="00AE224E"/>
    <w:rsid w:val="00AF1933"/>
    <w:rsid w:val="00AF5247"/>
    <w:rsid w:val="00AF6D2A"/>
    <w:rsid w:val="00AF78C6"/>
    <w:rsid w:val="00AF7CB4"/>
    <w:rsid w:val="00B00961"/>
    <w:rsid w:val="00B01ADE"/>
    <w:rsid w:val="00B06BA6"/>
    <w:rsid w:val="00B12237"/>
    <w:rsid w:val="00B12F3C"/>
    <w:rsid w:val="00B133E0"/>
    <w:rsid w:val="00B22EB0"/>
    <w:rsid w:val="00B24FF7"/>
    <w:rsid w:val="00B2543C"/>
    <w:rsid w:val="00B26192"/>
    <w:rsid w:val="00B262CD"/>
    <w:rsid w:val="00B316D1"/>
    <w:rsid w:val="00B33C5E"/>
    <w:rsid w:val="00B40A66"/>
    <w:rsid w:val="00B41090"/>
    <w:rsid w:val="00B50CF4"/>
    <w:rsid w:val="00B57B39"/>
    <w:rsid w:val="00B60E9C"/>
    <w:rsid w:val="00B6632A"/>
    <w:rsid w:val="00B67C18"/>
    <w:rsid w:val="00B74F9C"/>
    <w:rsid w:val="00B769E3"/>
    <w:rsid w:val="00B801E0"/>
    <w:rsid w:val="00B80489"/>
    <w:rsid w:val="00B807FD"/>
    <w:rsid w:val="00B83422"/>
    <w:rsid w:val="00B841C1"/>
    <w:rsid w:val="00B8765A"/>
    <w:rsid w:val="00B87D41"/>
    <w:rsid w:val="00B955B3"/>
    <w:rsid w:val="00BA15F6"/>
    <w:rsid w:val="00BA63ED"/>
    <w:rsid w:val="00BA7431"/>
    <w:rsid w:val="00BB0CAA"/>
    <w:rsid w:val="00BB11A8"/>
    <w:rsid w:val="00BB2026"/>
    <w:rsid w:val="00BB3784"/>
    <w:rsid w:val="00BC1BD9"/>
    <w:rsid w:val="00BC3B43"/>
    <w:rsid w:val="00BC52DF"/>
    <w:rsid w:val="00BC5535"/>
    <w:rsid w:val="00BD0BB7"/>
    <w:rsid w:val="00BD1289"/>
    <w:rsid w:val="00BD6A1A"/>
    <w:rsid w:val="00BE02A7"/>
    <w:rsid w:val="00BE2788"/>
    <w:rsid w:val="00BE67A2"/>
    <w:rsid w:val="00BE6F4C"/>
    <w:rsid w:val="00BE7E70"/>
    <w:rsid w:val="00BF460C"/>
    <w:rsid w:val="00BF5F9C"/>
    <w:rsid w:val="00C02F99"/>
    <w:rsid w:val="00C03770"/>
    <w:rsid w:val="00C05D8E"/>
    <w:rsid w:val="00C06B20"/>
    <w:rsid w:val="00C06CBE"/>
    <w:rsid w:val="00C123C3"/>
    <w:rsid w:val="00C126DF"/>
    <w:rsid w:val="00C15DBB"/>
    <w:rsid w:val="00C31E3B"/>
    <w:rsid w:val="00C369C9"/>
    <w:rsid w:val="00C444EA"/>
    <w:rsid w:val="00C50DF8"/>
    <w:rsid w:val="00C5114A"/>
    <w:rsid w:val="00C55BB5"/>
    <w:rsid w:val="00C64953"/>
    <w:rsid w:val="00C65B28"/>
    <w:rsid w:val="00C745E3"/>
    <w:rsid w:val="00C75C2E"/>
    <w:rsid w:val="00C766EF"/>
    <w:rsid w:val="00C773FC"/>
    <w:rsid w:val="00C807AA"/>
    <w:rsid w:val="00C80EE6"/>
    <w:rsid w:val="00C817A7"/>
    <w:rsid w:val="00C861B2"/>
    <w:rsid w:val="00C86975"/>
    <w:rsid w:val="00C92958"/>
    <w:rsid w:val="00CA2A8B"/>
    <w:rsid w:val="00CA65E9"/>
    <w:rsid w:val="00CB4339"/>
    <w:rsid w:val="00CB49F9"/>
    <w:rsid w:val="00CB6A55"/>
    <w:rsid w:val="00CC06D4"/>
    <w:rsid w:val="00CC06FA"/>
    <w:rsid w:val="00CC1890"/>
    <w:rsid w:val="00CC33CC"/>
    <w:rsid w:val="00CC480B"/>
    <w:rsid w:val="00CC72C5"/>
    <w:rsid w:val="00CC7310"/>
    <w:rsid w:val="00CD332E"/>
    <w:rsid w:val="00CD41C2"/>
    <w:rsid w:val="00CD521B"/>
    <w:rsid w:val="00CE06FC"/>
    <w:rsid w:val="00CE4335"/>
    <w:rsid w:val="00CE665F"/>
    <w:rsid w:val="00CF197E"/>
    <w:rsid w:val="00CF5040"/>
    <w:rsid w:val="00D03331"/>
    <w:rsid w:val="00D073EA"/>
    <w:rsid w:val="00D07CF0"/>
    <w:rsid w:val="00D12776"/>
    <w:rsid w:val="00D12D35"/>
    <w:rsid w:val="00D2092D"/>
    <w:rsid w:val="00D31AFE"/>
    <w:rsid w:val="00D332D6"/>
    <w:rsid w:val="00D346FC"/>
    <w:rsid w:val="00D35444"/>
    <w:rsid w:val="00D3691D"/>
    <w:rsid w:val="00D371C4"/>
    <w:rsid w:val="00D41ADE"/>
    <w:rsid w:val="00D471D1"/>
    <w:rsid w:val="00D50E81"/>
    <w:rsid w:val="00D56A55"/>
    <w:rsid w:val="00D60EC2"/>
    <w:rsid w:val="00D634D8"/>
    <w:rsid w:val="00D63C2D"/>
    <w:rsid w:val="00D651FF"/>
    <w:rsid w:val="00D65A32"/>
    <w:rsid w:val="00D71DEB"/>
    <w:rsid w:val="00D73882"/>
    <w:rsid w:val="00D80609"/>
    <w:rsid w:val="00D82BB6"/>
    <w:rsid w:val="00D96CBF"/>
    <w:rsid w:val="00DA100A"/>
    <w:rsid w:val="00DA2084"/>
    <w:rsid w:val="00DA25AD"/>
    <w:rsid w:val="00DA4F61"/>
    <w:rsid w:val="00DA73E5"/>
    <w:rsid w:val="00DB0090"/>
    <w:rsid w:val="00DB1679"/>
    <w:rsid w:val="00DB5927"/>
    <w:rsid w:val="00DC2F1C"/>
    <w:rsid w:val="00DC2F84"/>
    <w:rsid w:val="00DC44EE"/>
    <w:rsid w:val="00DC4BA2"/>
    <w:rsid w:val="00DD4C8D"/>
    <w:rsid w:val="00DD7FB4"/>
    <w:rsid w:val="00DE477C"/>
    <w:rsid w:val="00DE7CB6"/>
    <w:rsid w:val="00DF1C7E"/>
    <w:rsid w:val="00DF269B"/>
    <w:rsid w:val="00DF4AB0"/>
    <w:rsid w:val="00DF66EE"/>
    <w:rsid w:val="00DF6776"/>
    <w:rsid w:val="00DF6B22"/>
    <w:rsid w:val="00E00245"/>
    <w:rsid w:val="00E00371"/>
    <w:rsid w:val="00E07A31"/>
    <w:rsid w:val="00E166BE"/>
    <w:rsid w:val="00E17346"/>
    <w:rsid w:val="00E21BE2"/>
    <w:rsid w:val="00E22994"/>
    <w:rsid w:val="00E23047"/>
    <w:rsid w:val="00E23270"/>
    <w:rsid w:val="00E24EE3"/>
    <w:rsid w:val="00E309FD"/>
    <w:rsid w:val="00E403D4"/>
    <w:rsid w:val="00E40561"/>
    <w:rsid w:val="00E414F9"/>
    <w:rsid w:val="00E50150"/>
    <w:rsid w:val="00E5049F"/>
    <w:rsid w:val="00E504D8"/>
    <w:rsid w:val="00E61308"/>
    <w:rsid w:val="00E61E70"/>
    <w:rsid w:val="00E64653"/>
    <w:rsid w:val="00E64D3E"/>
    <w:rsid w:val="00E67E38"/>
    <w:rsid w:val="00E76995"/>
    <w:rsid w:val="00E80E43"/>
    <w:rsid w:val="00E8311C"/>
    <w:rsid w:val="00E879A7"/>
    <w:rsid w:val="00E87A04"/>
    <w:rsid w:val="00E922B4"/>
    <w:rsid w:val="00E94534"/>
    <w:rsid w:val="00E97970"/>
    <w:rsid w:val="00EA4003"/>
    <w:rsid w:val="00EB0151"/>
    <w:rsid w:val="00EB2B49"/>
    <w:rsid w:val="00EB5B3E"/>
    <w:rsid w:val="00EB7ED2"/>
    <w:rsid w:val="00EC43C8"/>
    <w:rsid w:val="00ED1806"/>
    <w:rsid w:val="00ED205C"/>
    <w:rsid w:val="00ED36BD"/>
    <w:rsid w:val="00ED3F02"/>
    <w:rsid w:val="00ED457C"/>
    <w:rsid w:val="00EE0709"/>
    <w:rsid w:val="00EE0B92"/>
    <w:rsid w:val="00EE0F0E"/>
    <w:rsid w:val="00EE2860"/>
    <w:rsid w:val="00EE68D2"/>
    <w:rsid w:val="00EF14B7"/>
    <w:rsid w:val="00EF44AD"/>
    <w:rsid w:val="00F014F8"/>
    <w:rsid w:val="00F13937"/>
    <w:rsid w:val="00F17267"/>
    <w:rsid w:val="00F22886"/>
    <w:rsid w:val="00F27587"/>
    <w:rsid w:val="00F307F9"/>
    <w:rsid w:val="00F3131F"/>
    <w:rsid w:val="00F32538"/>
    <w:rsid w:val="00F32FBC"/>
    <w:rsid w:val="00F34A00"/>
    <w:rsid w:val="00F34D93"/>
    <w:rsid w:val="00F4389F"/>
    <w:rsid w:val="00F62AEB"/>
    <w:rsid w:val="00F66A6D"/>
    <w:rsid w:val="00F707BD"/>
    <w:rsid w:val="00F72010"/>
    <w:rsid w:val="00F7477C"/>
    <w:rsid w:val="00F76428"/>
    <w:rsid w:val="00F77798"/>
    <w:rsid w:val="00F77B4D"/>
    <w:rsid w:val="00F820F7"/>
    <w:rsid w:val="00F83A44"/>
    <w:rsid w:val="00F85C22"/>
    <w:rsid w:val="00F86B12"/>
    <w:rsid w:val="00F87AC6"/>
    <w:rsid w:val="00F9085A"/>
    <w:rsid w:val="00F91B05"/>
    <w:rsid w:val="00F94E53"/>
    <w:rsid w:val="00F979AC"/>
    <w:rsid w:val="00FA38C3"/>
    <w:rsid w:val="00FA6353"/>
    <w:rsid w:val="00FB32DE"/>
    <w:rsid w:val="00FB3ADA"/>
    <w:rsid w:val="00FB7A50"/>
    <w:rsid w:val="00FC0DF5"/>
    <w:rsid w:val="00FC44B5"/>
    <w:rsid w:val="00FC6127"/>
    <w:rsid w:val="00FC7A4D"/>
    <w:rsid w:val="00FD08A0"/>
    <w:rsid w:val="00FD1F63"/>
    <w:rsid w:val="00FD2E42"/>
    <w:rsid w:val="00FD4AA6"/>
    <w:rsid w:val="00FE2B9E"/>
    <w:rsid w:val="00FE6123"/>
    <w:rsid w:val="00FE6555"/>
    <w:rsid w:val="00FE6E03"/>
    <w:rsid w:val="00FF51E1"/>
    <w:rsid w:val="00FF5862"/>
    <w:rsid w:val="780A014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unhideWhenUsed="0" w:uiPriority="0" w:semiHidden="0" w:name="annotation text"/>
    <w:lsdException w:qFormat="1" w:unhideWhenUsed="0" w:uiPriority="0" w:semiHidden="0" w:name="header"/>
    <w:lsdException w:unhideWhenUsed="0" w:uiPriority="0"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qFormat="1" w:unhideWhenUsed="0" w:uiPriority="0" w:semiHidden="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nhideWhenUsed="0" w:uiPriority="0" w:semiHidden="0" w:name="List"/>
    <w:lsdException w:uiPriority="0" w:name="List Bullet"/>
    <w:lsdException w:uiPriority="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iPriority="0" w:name="List Number 5"/>
    <w:lsdException w:qFormat="1" w:unhideWhenUsed="0" w:uiPriority="0" w:semiHidden="0" w:name="Title"/>
    <w:lsdException w:uiPriority="0" w:name="Closing"/>
    <w:lsdException w:uiPriority="0" w:name="Signature"/>
    <w:lsdException w:uiPriority="1" w:name="Default Paragraph Font"/>
    <w:lsdException w:uiPriority="0" w:name="Body Text"/>
    <w:lsdException w:unhideWhenUsed="0" w:uiPriority="0"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uiPriority="0" w:name="Plain Text"/>
    <w:lsdException w:uiPriority="0" w:name="E-mail Signature"/>
    <w:lsdException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2"/>
    <w:basedOn w:val="1"/>
    <w:next w:val="1"/>
    <w:qFormat/>
    <w:uiPriority w:val="0"/>
    <w:pPr>
      <w:widowControl/>
      <w:spacing w:before="100" w:beforeAutospacing="1" w:after="100" w:afterAutospacing="1"/>
      <w:jc w:val="left"/>
      <w:outlineLvl w:val="1"/>
    </w:pPr>
    <w:rPr>
      <w:rFonts w:ascii="宋体" w:hAnsi="宋体" w:cs="宋体"/>
      <w:b/>
      <w:bCs/>
      <w:kern w:val="0"/>
      <w:sz w:val="36"/>
      <w:szCs w:val="36"/>
    </w:rPr>
  </w:style>
  <w:style w:type="character" w:default="1" w:styleId="13">
    <w:name w:val="Default Paragraph Font"/>
    <w:semiHidden/>
    <w:unhideWhenUsed/>
    <w:uiPriority w:val="1"/>
  </w:style>
  <w:style w:type="table" w:default="1" w:styleId="11">
    <w:name w:val="Normal Table"/>
    <w:semiHidden/>
    <w:unhideWhenUsed/>
    <w:uiPriority w:val="99"/>
    <w:tblPr>
      <w:tblLayout w:type="fixed"/>
      <w:tblCellMar>
        <w:top w:w="0" w:type="dxa"/>
        <w:left w:w="108" w:type="dxa"/>
        <w:bottom w:w="0" w:type="dxa"/>
        <w:right w:w="108" w:type="dxa"/>
      </w:tblCellMar>
    </w:tblPr>
  </w:style>
  <w:style w:type="paragraph" w:styleId="3">
    <w:name w:val="annotation text"/>
    <w:basedOn w:val="1"/>
    <w:link w:val="21"/>
    <w:uiPriority w:val="0"/>
    <w:pPr>
      <w:jc w:val="left"/>
    </w:pPr>
  </w:style>
  <w:style w:type="paragraph" w:styleId="4">
    <w:name w:val="Body Text Indent"/>
    <w:basedOn w:val="1"/>
    <w:uiPriority w:val="0"/>
    <w:pPr>
      <w:widowControl/>
      <w:spacing w:before="100" w:beforeAutospacing="1" w:after="100" w:afterAutospacing="1"/>
      <w:jc w:val="left"/>
    </w:pPr>
    <w:rPr>
      <w:rFonts w:ascii="宋体" w:hAnsi="宋体" w:cs="宋体"/>
      <w:kern w:val="0"/>
      <w:sz w:val="24"/>
    </w:rPr>
  </w:style>
  <w:style w:type="paragraph" w:styleId="5">
    <w:name w:val="Body Text Indent 2"/>
    <w:basedOn w:val="1"/>
    <w:uiPriority w:val="0"/>
    <w:pPr>
      <w:widowControl/>
      <w:spacing w:before="100" w:beforeAutospacing="1" w:after="100" w:afterAutospacing="1"/>
      <w:jc w:val="left"/>
    </w:pPr>
    <w:rPr>
      <w:rFonts w:ascii="宋体" w:hAnsi="宋体" w:cs="宋体"/>
      <w:kern w:val="0"/>
      <w:sz w:val="24"/>
    </w:rPr>
  </w:style>
  <w:style w:type="paragraph" w:styleId="6">
    <w:name w:val="Balloon Text"/>
    <w:basedOn w:val="1"/>
    <w:semiHidden/>
    <w:uiPriority w:val="0"/>
    <w:rPr>
      <w:sz w:val="18"/>
      <w:szCs w:val="18"/>
    </w:rPr>
  </w:style>
  <w:style w:type="paragraph" w:styleId="7">
    <w:name w:val="footer"/>
    <w:basedOn w:val="1"/>
    <w:uiPriority w:val="0"/>
    <w:pPr>
      <w:tabs>
        <w:tab w:val="center" w:pos="4153"/>
        <w:tab w:val="right" w:pos="8306"/>
      </w:tabs>
      <w:snapToGrid w:val="0"/>
      <w:jc w:val="left"/>
    </w:pPr>
    <w:rPr>
      <w:sz w:val="18"/>
      <w:szCs w:val="18"/>
    </w:rPr>
  </w:style>
  <w:style w:type="paragraph" w:styleId="8">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9">
    <w:name w:val="Normal (Web)"/>
    <w:basedOn w:val="1"/>
    <w:unhideWhenUsed/>
    <w:uiPriority w:val="99"/>
    <w:pPr>
      <w:widowControl/>
      <w:spacing w:before="100" w:beforeAutospacing="1" w:after="100" w:afterAutospacing="1"/>
      <w:jc w:val="left"/>
    </w:pPr>
    <w:rPr>
      <w:rFonts w:ascii="宋体" w:hAnsi="宋体" w:cs="宋体"/>
      <w:kern w:val="0"/>
      <w:sz w:val="24"/>
    </w:rPr>
  </w:style>
  <w:style w:type="paragraph" w:styleId="10">
    <w:name w:val="annotation subject"/>
    <w:basedOn w:val="3"/>
    <w:next w:val="3"/>
    <w:link w:val="22"/>
    <w:uiPriority w:val="0"/>
    <w:rPr>
      <w:b/>
      <w:bCs/>
    </w:rPr>
  </w:style>
  <w:style w:type="table" w:styleId="12">
    <w:name w:val="Table Grid"/>
    <w:basedOn w:val="11"/>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styleId="14">
    <w:name w:val="Strong"/>
    <w:qFormat/>
    <w:uiPriority w:val="0"/>
    <w:rPr>
      <w:b/>
      <w:bCs/>
    </w:rPr>
  </w:style>
  <w:style w:type="character" w:styleId="15">
    <w:name w:val="Hyperlink"/>
    <w:uiPriority w:val="0"/>
    <w:rPr>
      <w:color w:val="0068B7"/>
      <w:u w:val="none"/>
    </w:rPr>
  </w:style>
  <w:style w:type="character" w:styleId="16">
    <w:name w:val="annotation reference"/>
    <w:basedOn w:val="13"/>
    <w:qFormat/>
    <w:uiPriority w:val="0"/>
    <w:rPr>
      <w:sz w:val="21"/>
      <w:szCs w:val="21"/>
    </w:rPr>
  </w:style>
  <w:style w:type="character" w:customStyle="1" w:styleId="17">
    <w:name w:val="141"/>
    <w:uiPriority w:val="0"/>
    <w:rPr>
      <w:sz w:val="21"/>
      <w:szCs w:val="21"/>
    </w:rPr>
  </w:style>
  <w:style w:type="character" w:customStyle="1" w:styleId="18">
    <w:name w:val="ztag pre"/>
    <w:basedOn w:val="13"/>
    <w:qFormat/>
    <w:uiPriority w:val="0"/>
  </w:style>
  <w:style w:type="character" w:customStyle="1" w:styleId="19">
    <w:name w:val="已访问的超链接1"/>
    <w:qFormat/>
    <w:uiPriority w:val="0"/>
    <w:rPr>
      <w:color w:val="800080"/>
      <w:u w:val="single"/>
    </w:rPr>
  </w:style>
  <w:style w:type="paragraph" w:styleId="20">
    <w:name w:val="List Paragraph"/>
    <w:basedOn w:val="1"/>
    <w:qFormat/>
    <w:uiPriority w:val="34"/>
    <w:pPr>
      <w:ind w:firstLine="420" w:firstLineChars="200"/>
    </w:pPr>
  </w:style>
  <w:style w:type="character" w:customStyle="1" w:styleId="21">
    <w:name w:val="批注文字 字符"/>
    <w:basedOn w:val="13"/>
    <w:link w:val="3"/>
    <w:qFormat/>
    <w:uiPriority w:val="0"/>
    <w:rPr>
      <w:kern w:val="2"/>
      <w:sz w:val="21"/>
      <w:szCs w:val="24"/>
    </w:rPr>
  </w:style>
  <w:style w:type="character" w:customStyle="1" w:styleId="22">
    <w:name w:val="批注主题 字符"/>
    <w:basedOn w:val="21"/>
    <w:link w:val="10"/>
    <w:qFormat/>
    <w:uiPriority w:val="0"/>
    <w:rPr>
      <w:b/>
      <w:bCs/>
      <w:kern w:val="2"/>
      <w:sz w:val="21"/>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2.xml"/><Relationship Id="rId11" Type="http://schemas.openxmlformats.org/officeDocument/2006/relationships/numbering" Target="numbering.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0AB1263-974E-4E5B-8030-B394D882A8EF}">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5</Pages>
  <Words>409</Words>
  <Characters>2335</Characters>
  <Lines>19</Lines>
  <Paragraphs>5</Paragraphs>
  <TotalTime>0</TotalTime>
  <ScaleCrop>false</ScaleCrop>
  <LinksUpToDate>false</LinksUpToDate>
  <CharactersWithSpaces>2739</CharactersWithSpaces>
  <Application>WPS Office_11.1.0.8907_F1E327BC-269C-435d-A152-05C5408002CA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2019-06-19T06:53:00Z</dcterms:created>
  <dc:creator>全美国际教育协会</dc:creator>
  <cp:lastModifiedBy>Mag'g</cp:lastModifiedBy>
  <cp:lastPrinted>2011-12-16T08:54:00Z</cp:lastPrinted>
  <dcterms:modified xsi:type="dcterms:W3CDTF">2019-08-20T09:19:05Z</dcterms:modified>
  <dc:title>加州大学河滨分校短期访学项目</dc:title>
  <cp:revision>25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2052-11.1.0.8907</vt:lpwstr>
  </property>
</Properties>
</file>