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center"/>
        <w:textAlignment w:val="auto"/>
        <w:rPr>
          <w:rFonts w:hint="eastAsia"/>
          <w:b/>
          <w:bCs/>
          <w:i w:val="0"/>
          <w:caps w:val="0"/>
          <w:color w:val="000000" w:themeColor="text1"/>
          <w:spacing w:val="0"/>
          <w:sz w:val="36"/>
          <w:szCs w:val="36"/>
          <w:lang w:val="en-US" w:eastAsia="zh-CN"/>
          <w14:textFill>
            <w14:solidFill>
              <w14:schemeClr w14:val="tx1"/>
            </w14:solidFill>
          </w14:textFill>
        </w:rPr>
      </w:pPr>
      <w:r>
        <w:rPr>
          <w:b/>
          <w:bCs/>
          <w:i w:val="0"/>
          <w:caps w:val="0"/>
          <w:color w:val="000000" w:themeColor="text1"/>
          <w:spacing w:val="0"/>
          <w:sz w:val="36"/>
          <w:szCs w:val="36"/>
          <w14:textFill>
            <w14:solidFill>
              <w14:schemeClr w14:val="tx1"/>
            </w14:solidFill>
          </w14:textFill>
        </w:rPr>
        <w:t>关于</w:t>
      </w:r>
      <w:r>
        <w:rPr>
          <w:rFonts w:hint="eastAsia"/>
          <w:b/>
          <w:bCs/>
          <w:i w:val="0"/>
          <w:caps w:val="0"/>
          <w:color w:val="000000" w:themeColor="text1"/>
          <w:spacing w:val="0"/>
          <w:sz w:val="36"/>
          <w:szCs w:val="36"/>
          <w:lang w:eastAsia="zh-CN"/>
          <w14:textFill>
            <w14:solidFill>
              <w14:schemeClr w14:val="tx1"/>
            </w14:solidFill>
          </w14:textFill>
        </w:rPr>
        <w:t>广东财经</w:t>
      </w:r>
      <w:r>
        <w:rPr>
          <w:b/>
          <w:bCs/>
          <w:i w:val="0"/>
          <w:caps w:val="0"/>
          <w:color w:val="000000" w:themeColor="text1"/>
          <w:spacing w:val="0"/>
          <w:sz w:val="36"/>
          <w:szCs w:val="36"/>
          <w14:textFill>
            <w14:solidFill>
              <w14:schemeClr w14:val="tx1"/>
            </w14:solidFill>
          </w14:textFill>
        </w:rPr>
        <w:t>大学-西澳大学</w:t>
      </w:r>
      <w:r>
        <w:rPr>
          <w:rFonts w:hint="eastAsia"/>
          <w:b/>
          <w:bCs/>
          <w:i w:val="0"/>
          <w:caps w:val="0"/>
          <w:color w:val="000000" w:themeColor="text1"/>
          <w:spacing w:val="0"/>
          <w:sz w:val="36"/>
          <w:szCs w:val="36"/>
          <w:lang w:val="en-US" w:eastAsia="zh-CN"/>
          <w14:textFill>
            <w14:solidFill>
              <w14:schemeClr w14:val="tx1"/>
            </w14:solidFill>
          </w14:textFill>
        </w:rPr>
        <w:t>1-2学期短期交流生项目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SimSun" w:hAnsi="SimSun" w:eastAsia="SimSun" w:cs="SimSun"/>
          <w:b/>
          <w:bCs/>
          <w:sz w:val="24"/>
          <w:szCs w:val="24"/>
          <w:shd w:val="clear" w:color="auto" w:fill="FFFFFF"/>
        </w:rPr>
      </w:pPr>
      <w:r>
        <w:rPr>
          <w:rFonts w:hint="eastAsia" w:ascii="SimSun" w:hAnsi="SimSun" w:eastAsia="SimSun" w:cs="SimSun"/>
          <w:b/>
          <w:bCs/>
          <w:sz w:val="24"/>
          <w:szCs w:val="24"/>
          <w:highlight w:val="yellow"/>
          <w:lang w:val="en-US" w:eastAsia="zh-CN"/>
        </w:rPr>
        <w:t>（西澳大学特别为参加该项目的同学提供高额奖学金）</w:t>
      </w:r>
    </w:p>
    <w:p>
      <w:pPr>
        <w:rPr>
          <w:b w:val="0"/>
          <w:i w:val="0"/>
          <w:caps w:val="0"/>
          <w:color w:val="000000" w:themeColor="text1"/>
          <w:spacing w:val="0"/>
          <w:sz w:val="24"/>
          <w:szCs w:val="24"/>
          <w14:textFill>
            <w14:solidFill>
              <w14:schemeClr w14:val="tx1"/>
            </w14:solidFill>
          </w14:textFill>
        </w:rPr>
      </w:pPr>
    </w:p>
    <w:p>
      <w:pPr>
        <w:rPr>
          <w:b w:val="0"/>
          <w:i w:val="0"/>
          <w:caps w:val="0"/>
          <w:color w:val="000000" w:themeColor="text1"/>
          <w:spacing w:val="0"/>
          <w:sz w:val="24"/>
          <w:szCs w:val="24"/>
          <w14:textFill>
            <w14:solidFill>
              <w14:schemeClr w14:val="tx1"/>
            </w14:solidFill>
          </w14:textFill>
        </w:rPr>
      </w:pPr>
    </w:p>
    <w:p>
      <w:pPr>
        <w:rPr>
          <w:rFonts w:hint="eastAsia"/>
          <w:b/>
          <w:bCs/>
          <w:i w:val="0"/>
          <w:caps w:val="0"/>
          <w:color w:val="4472C4" w:themeColor="accent5"/>
          <w:spacing w:val="0"/>
          <w:sz w:val="24"/>
          <w:szCs w:val="24"/>
          <w14:textFill>
            <w14:solidFill>
              <w14:schemeClr w14:val="accent5"/>
            </w14:solidFill>
          </w14:textFill>
        </w:rPr>
      </w:pPr>
      <w:r>
        <w:rPr>
          <w:rFonts w:hint="eastAsia"/>
          <w:b/>
          <w:bCs/>
          <w:i w:val="0"/>
          <w:caps w:val="0"/>
          <w:color w:val="4472C4" w:themeColor="accent5"/>
          <w:spacing w:val="0"/>
          <w:sz w:val="24"/>
          <w:szCs w:val="24"/>
          <w14:textFill>
            <w14:solidFill>
              <w14:schemeClr w14:val="accent5"/>
            </w14:solidFill>
          </w14:textFill>
        </w:rPr>
        <w:t>西澳大学简介</w:t>
      </w: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西澳大学建于1911年，位于西澳大利亚州首府珀斯，据最新公布的QS世界大学排名位列第</w:t>
      </w:r>
      <w:r>
        <w:rPr>
          <w:rFonts w:hint="eastAsia"/>
          <w:b w:val="0"/>
          <w:i w:val="0"/>
          <w:caps w:val="0"/>
          <w:color w:val="000000" w:themeColor="text1"/>
          <w:spacing w:val="0"/>
          <w:sz w:val="24"/>
          <w:szCs w:val="24"/>
          <w:lang w:val="en-US" w:eastAsia="zh-CN"/>
          <w14:textFill>
            <w14:solidFill>
              <w14:schemeClr w14:val="tx1"/>
            </w14:solidFill>
          </w14:textFill>
        </w:rPr>
        <w:t>86</w:t>
      </w:r>
      <w:r>
        <w:rPr>
          <w:rFonts w:hint="eastAsia"/>
          <w:b w:val="0"/>
          <w:i w:val="0"/>
          <w:caps w:val="0"/>
          <w:color w:val="000000" w:themeColor="text1"/>
          <w:spacing w:val="0"/>
          <w:sz w:val="24"/>
          <w:szCs w:val="24"/>
          <w14:textFill>
            <w14:solidFill>
              <w14:schemeClr w14:val="tx1"/>
            </w14:solidFill>
          </w14:textFill>
        </w:rPr>
        <w:t>位，2019USNews（美国新闻）全球最佳大学排名，西澳大学位列世界第81，西澳州第1</w:t>
      </w:r>
      <w:r>
        <w:rPr>
          <w:rFonts w:hint="eastAsia"/>
          <w:b w:val="0"/>
          <w:i w:val="0"/>
          <w:caps w:val="0"/>
          <w:color w:val="000000" w:themeColor="text1"/>
          <w:spacing w:val="0"/>
          <w:sz w:val="24"/>
          <w:szCs w:val="24"/>
          <w:lang w:eastAsia="zh-CN"/>
          <w14:textFill>
            <w14:solidFill>
              <w14:schemeClr w14:val="tx1"/>
            </w14:solidFill>
          </w14:textFill>
        </w:rPr>
        <w:t>，</w:t>
      </w:r>
      <w:r>
        <w:rPr>
          <w:rFonts w:hint="eastAsia"/>
          <w:b w:val="0"/>
          <w:i w:val="0"/>
          <w:caps w:val="0"/>
          <w:color w:val="000000" w:themeColor="text1"/>
          <w:spacing w:val="0"/>
          <w:sz w:val="24"/>
          <w:szCs w:val="24"/>
          <w14:textFill>
            <w14:solidFill>
              <w14:schemeClr w14:val="tx1"/>
            </w14:solidFill>
          </w14:textFill>
        </w:rPr>
        <w:t>并被评定为全球超五星级大学，是“世界百强大学”和“澳大利亚八校联盟”成员之一。</w:t>
      </w:r>
    </w:p>
    <w:p>
      <w:pPr>
        <w:rPr>
          <w:rFonts w:hint="eastAsia"/>
          <w:b w:val="0"/>
          <w:i w:val="0"/>
          <w:caps w:val="0"/>
          <w:color w:val="000000" w:themeColor="text1"/>
          <w:spacing w:val="0"/>
          <w:sz w:val="24"/>
          <w:szCs w:val="24"/>
          <w14:textFill>
            <w14:solidFill>
              <w14:schemeClr w14:val="tx1"/>
            </w14:solidFill>
          </w14:textFill>
        </w:rPr>
      </w:pP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西澳大学在教学、科研等方面均处于世界领先水平，现已培养了1名诺贝尔奖得主、1名数学界诺贝尔奖之誉的菲尔兹奖得主、近100名罗兹学术奖得主</w:t>
      </w:r>
      <w:r>
        <w:rPr>
          <w:rFonts w:hint="eastAsia"/>
          <w:b w:val="0"/>
          <w:i w:val="0"/>
          <w:caps w:val="0"/>
          <w:color w:val="000000" w:themeColor="text1"/>
          <w:spacing w:val="0"/>
          <w:sz w:val="24"/>
          <w:szCs w:val="24"/>
          <w:lang w:eastAsia="zh-CN"/>
          <w14:textFill>
            <w14:solidFill>
              <w14:schemeClr w14:val="tx1"/>
            </w14:solidFill>
          </w14:textFill>
        </w:rPr>
        <w:t>、</w:t>
      </w:r>
      <w:r>
        <w:rPr>
          <w:rFonts w:hint="eastAsia"/>
          <w:b w:val="0"/>
          <w:i w:val="0"/>
          <w:caps w:val="0"/>
          <w:color w:val="000000" w:themeColor="text1"/>
          <w:spacing w:val="0"/>
          <w:sz w:val="24"/>
          <w:szCs w:val="24"/>
          <w14:textFill>
            <w14:solidFill>
              <w14:schemeClr w14:val="tx1"/>
            </w14:solidFill>
          </w14:textFill>
        </w:rPr>
        <w:t>1位澳大利亚总理</w:t>
      </w:r>
      <w:r>
        <w:rPr>
          <w:rFonts w:hint="eastAsia"/>
          <w:b w:val="0"/>
          <w:i w:val="0"/>
          <w:caps w:val="0"/>
          <w:color w:val="000000" w:themeColor="text1"/>
          <w:spacing w:val="0"/>
          <w:sz w:val="24"/>
          <w:szCs w:val="24"/>
          <w:lang w:eastAsia="zh-CN"/>
          <w14:textFill>
            <w14:solidFill>
              <w14:schemeClr w14:val="tx1"/>
            </w14:solidFill>
          </w14:textFill>
        </w:rPr>
        <w:t>以及各行各业的佼佼者，包括澳大利亚麦格里集团西澳部主席Mark Barnaba、世界经济论坛卓越运营Victoria Mallinckrodt、奥斯卡获奖艺术家Shaun Tan等等</w:t>
      </w:r>
      <w:r>
        <w:rPr>
          <w:rFonts w:hint="eastAsia"/>
          <w:b w:val="0"/>
          <w:i w:val="0"/>
          <w:caps w:val="0"/>
          <w:color w:val="000000" w:themeColor="text1"/>
          <w:spacing w:val="0"/>
          <w:sz w:val="24"/>
          <w:szCs w:val="24"/>
          <w14:textFill>
            <w14:solidFill>
              <w14:schemeClr w14:val="tx1"/>
            </w14:solidFill>
          </w14:textFill>
        </w:rPr>
        <w:t>；西澳大学的金融学专业世界专业排名前百强，商学院获AACSB及EQUIS双重认证（全球仅有不到5%的商学院获该殊荣），本科金融专业获得特许金融分析师机构（CFA）认证，可享用哈佛大学商学院的学术教育平台资源。</w:t>
      </w:r>
    </w:p>
    <w:p>
      <w:pPr>
        <w:rPr>
          <w:rFonts w:hint="eastAsia"/>
          <w:b w:val="0"/>
          <w:i w:val="0"/>
          <w:caps w:val="0"/>
          <w:color w:val="000000" w:themeColor="text1"/>
          <w:spacing w:val="0"/>
          <w:sz w:val="24"/>
          <w:szCs w:val="24"/>
          <w14:textFill>
            <w14:solidFill>
              <w14:schemeClr w14:val="tx1"/>
            </w14:solidFill>
          </w14:textFill>
        </w:rPr>
      </w:pP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西澳大学有多个专业在世界大学专业排名上名列前茅，矿产与矿业工程、土木与建筑工程、地球与海洋科学等7个专业位列前50；会计与金融、心理学、社会学、教育与培训、法律等13个专业位列前100。</w:t>
      </w:r>
    </w:p>
    <w:p>
      <w:pPr>
        <w:rPr>
          <w:rFonts w:hint="eastAsia"/>
          <w:b w:val="0"/>
          <w:i w:val="0"/>
          <w:caps w:val="0"/>
          <w:color w:val="000000" w:themeColor="text1"/>
          <w:spacing w:val="0"/>
          <w:sz w:val="24"/>
          <w:szCs w:val="24"/>
          <w14:textFill>
            <w14:solidFill>
              <w14:schemeClr w14:val="tx1"/>
            </w14:solidFill>
          </w14:textFill>
        </w:rPr>
      </w:pP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西澳大学拥有高水平的师资，大部分的教职工都拥有海外学历，其中具有博士学位的更是占了相当高的比例。大学还有一批教师获得了澳大利亚克里克教学奖。其教学水平可与众多世界一流高等教育机构匹敌。</w:t>
      </w:r>
    </w:p>
    <w:p>
      <w:pPr>
        <w:rPr>
          <w:rFonts w:hint="eastAsia"/>
          <w:b w:val="0"/>
          <w:i w:val="0"/>
          <w:caps w:val="0"/>
          <w:color w:val="000000" w:themeColor="text1"/>
          <w:spacing w:val="0"/>
          <w:sz w:val="24"/>
          <w:szCs w:val="24"/>
          <w14:textFill>
            <w14:solidFill>
              <w14:schemeClr w14:val="tx1"/>
            </w14:solidFill>
          </w14:textFill>
        </w:rPr>
      </w:pP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拥有先进完善的配套设施，其中包括专题图书馆，充足的研究资源，更有健身房、篮球场、泳池等体育设备提供给学生使用。其商学院的金融交易室更是获得了在伦敦的年度国际视听奖上获得了“年度教育项目奖”，让学生们专享世界级的学习资源，它使学生能够从澳大利亚股票交易所、纽约证券交易所、伦敦证券交易所和芝加哥商业交易所等金融机构获得的超过400个全球市场和超过400万千兆字节的历史性市场数据，并涵盖超过3500万种来自股票、债券、货币、大宗商品和衍生品的金融工具。</w:t>
      </w:r>
    </w:p>
    <w:p>
      <w:pPr>
        <w:rPr>
          <w:rFonts w:hint="eastAsia"/>
          <w:b w:val="0"/>
          <w:i w:val="0"/>
          <w:caps w:val="0"/>
          <w:color w:val="000000" w:themeColor="text1"/>
          <w:spacing w:val="0"/>
          <w:sz w:val="24"/>
          <w:szCs w:val="24"/>
          <w14:textFill>
            <w14:solidFill>
              <w14:schemeClr w14:val="tx1"/>
            </w14:solidFill>
          </w14:textFill>
        </w:rPr>
      </w:pP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除此之外，学校还为学生们提供工作信息和设有学生咨询服务，真正地做到教育实践生活相结合，培养全方面发展的人才。</w:t>
      </w:r>
    </w:p>
    <w:p>
      <w:pPr>
        <w:rPr>
          <w:rFonts w:hint="eastAsia"/>
          <w:b w:val="0"/>
          <w:i w:val="0"/>
          <w:caps w:val="0"/>
          <w:color w:val="000000" w:themeColor="text1"/>
          <w:spacing w:val="0"/>
          <w:sz w:val="24"/>
          <w:szCs w:val="24"/>
          <w14:textFill>
            <w14:solidFill>
              <w14:schemeClr w14:val="tx1"/>
            </w14:solidFill>
          </w14:textFill>
        </w:rPr>
      </w:pPr>
    </w:p>
    <w:p>
      <w:pPr>
        <w:rPr>
          <w:rFonts w:hint="eastAsia"/>
          <w:b/>
          <w:bCs/>
          <w:i w:val="0"/>
          <w:caps w:val="0"/>
          <w:color w:val="4472C4" w:themeColor="accent5"/>
          <w:spacing w:val="0"/>
          <w:sz w:val="24"/>
          <w:szCs w:val="24"/>
          <w14:textFill>
            <w14:solidFill>
              <w14:schemeClr w14:val="accent5"/>
            </w14:solidFill>
          </w14:textFill>
        </w:rPr>
      </w:pPr>
      <w:r>
        <w:rPr>
          <w:rFonts w:hint="eastAsia"/>
          <w:b/>
          <w:bCs/>
          <w:i w:val="0"/>
          <w:caps w:val="0"/>
          <w:color w:val="4472C4" w:themeColor="accent5"/>
          <w:spacing w:val="0"/>
          <w:sz w:val="24"/>
          <w:szCs w:val="24"/>
          <w14:textFill>
            <w14:solidFill>
              <w14:schemeClr w14:val="accent5"/>
            </w14:solidFill>
          </w14:textFill>
        </w:rPr>
        <w:t>项目介绍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kern w:val="0"/>
          <w:sz w:val="24"/>
          <w:szCs w:val="24"/>
          <w:shd w:val="clear" w:color="auto" w:fill="FFFFFF"/>
          <w:lang w:val="en-US" w:eastAsia="zh-CN" w:bidi="ar"/>
        </w:rPr>
      </w:pPr>
      <w:r>
        <w:rPr>
          <w:rFonts w:hint="eastAsia"/>
          <w:b w:val="0"/>
          <w:i w:val="0"/>
          <w:caps w:val="0"/>
          <w:color w:val="000000" w:themeColor="text1"/>
          <w:spacing w:val="0"/>
          <w:sz w:val="24"/>
          <w:szCs w:val="24"/>
          <w14:textFill>
            <w14:solidFill>
              <w14:schemeClr w14:val="tx1"/>
            </w14:solidFill>
          </w14:textFill>
        </w:rPr>
        <w:t>培养模式：</w:t>
      </w:r>
      <w:r>
        <w:rPr>
          <w:rFonts w:hint="eastAsia" w:ascii="SimSun" w:hAnsi="SimSun" w:eastAsia="SimSun" w:cs="SimSun"/>
          <w:kern w:val="0"/>
          <w:sz w:val="24"/>
          <w:szCs w:val="24"/>
          <w:shd w:val="clear" w:color="auto" w:fill="FFFFFF"/>
          <w:lang w:val="en-US" w:eastAsia="zh-CN" w:bidi="ar"/>
        </w:rPr>
        <w:t>西澳大学每年2月、7月开学，学生在西澳大学学习一至两个学期，修读4-8门专业课程。所选的西澳大学专业课与学生在广财所修专业相关的学分可转换抵消。</w:t>
      </w:r>
    </w:p>
    <w:p>
      <w:pPr>
        <w:rPr>
          <w:rFonts w:hint="eastAsia"/>
          <w:b w:val="0"/>
          <w:i w:val="0"/>
          <w:caps w:val="0"/>
          <w:color w:val="000000" w:themeColor="text1"/>
          <w:spacing w:val="0"/>
          <w:sz w:val="24"/>
          <w:szCs w:val="24"/>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eastAsia" w:ascii="SimSun" w:hAnsi="SimSun" w:eastAsia="SimSun" w:cs="SimSun"/>
          <w:sz w:val="24"/>
          <w:szCs w:val="24"/>
        </w:rPr>
      </w:pPr>
      <w:r>
        <w:rPr>
          <w:rFonts w:hint="eastAsia"/>
          <w:b w:val="0"/>
          <w:i w:val="0"/>
          <w:caps w:val="0"/>
          <w:color w:val="000000" w:themeColor="text1"/>
          <w:spacing w:val="0"/>
          <w:sz w:val="24"/>
          <w:szCs w:val="24"/>
          <w14:textFill>
            <w14:solidFill>
              <w14:schemeClr w14:val="tx1"/>
            </w14:solidFill>
          </w14:textFill>
        </w:rPr>
        <w:t>招生对象：</w:t>
      </w:r>
      <w:r>
        <w:rPr>
          <w:rFonts w:hint="eastAsia" w:ascii="SimSun" w:hAnsi="SimSun" w:eastAsia="SimSun" w:cs="SimSun"/>
          <w:sz w:val="24"/>
          <w:szCs w:val="24"/>
          <w:lang w:val="en-US" w:eastAsia="zh-CN"/>
        </w:rPr>
        <w:t>广东财经大学大一至大三本科在读生，专业不限</w:t>
      </w:r>
    </w:p>
    <w:p>
      <w:pPr>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西澳大学录取条件：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eastAsia" w:ascii="SimSun" w:hAnsi="SimSun" w:eastAsia="SimSun" w:cs="SimSun"/>
          <w:kern w:val="0"/>
          <w:sz w:val="24"/>
          <w:szCs w:val="24"/>
          <w:shd w:val="clear" w:color="auto" w:fill="FFFFFF"/>
          <w:lang w:val="en-US" w:eastAsia="zh-CN" w:bidi="ar"/>
        </w:rPr>
      </w:pPr>
      <w:r>
        <w:rPr>
          <w:rFonts w:hint="eastAsia" w:ascii="SimSun" w:hAnsi="SimSun" w:eastAsia="SimSun" w:cs="SimSun"/>
          <w:kern w:val="0"/>
          <w:sz w:val="24"/>
          <w:szCs w:val="24"/>
          <w:shd w:val="clear" w:color="auto" w:fill="FFFFFF"/>
          <w:lang w:val="en-US" w:eastAsia="zh-CN" w:bidi="ar"/>
        </w:rPr>
        <w:t>雅思6.5，各单项不低于6；</w:t>
      </w:r>
    </w:p>
    <w:p>
      <w:pPr>
        <w:rPr>
          <w:rFonts w:hint="eastAsia" w:ascii="SimSun" w:hAnsi="SimSun" w:eastAsia="SimSun" w:cs="SimSun"/>
          <w:kern w:val="0"/>
          <w:sz w:val="24"/>
          <w:szCs w:val="24"/>
          <w:shd w:val="clear" w:color="auto" w:fill="FFFFFF"/>
          <w:lang w:val="en-US" w:eastAsia="zh-CN" w:bidi="ar"/>
        </w:rPr>
      </w:pPr>
      <w:r>
        <w:rPr>
          <w:rFonts w:hint="eastAsia" w:ascii="SimSun" w:hAnsi="SimSun" w:eastAsia="SimSun" w:cs="SimSun"/>
          <w:kern w:val="0"/>
          <w:sz w:val="24"/>
          <w:szCs w:val="24"/>
          <w:shd w:val="clear" w:color="auto" w:fill="FFFFFF"/>
          <w:lang w:val="en-US" w:eastAsia="zh-CN" w:bidi="ar"/>
        </w:rPr>
        <w:t>若达到雅思总分6，各单项不低于5.5，由西澳大学作具体评估，学生需修读1门英语和学术交流课程（HUMA1901或HUMA1902）。</w:t>
      </w:r>
    </w:p>
    <w:p>
      <w:pPr>
        <w:rPr>
          <w:rFonts w:hint="eastAsia" w:ascii="SimSun" w:hAnsi="SimSun" w:eastAsia="SimSun" w:cs="SimSun"/>
          <w:kern w:val="0"/>
          <w:sz w:val="24"/>
          <w:szCs w:val="24"/>
          <w:shd w:val="clear" w:color="auto" w:fill="FFFFFF"/>
          <w:lang w:val="en-US" w:eastAsia="zh-CN" w:bidi="ar"/>
        </w:rPr>
      </w:pPr>
    </w:p>
    <w:p>
      <w:pPr>
        <w:rPr>
          <w:rFonts w:hint="eastAsia"/>
          <w:b/>
          <w:bCs/>
          <w:i w:val="0"/>
          <w:caps w:val="0"/>
          <w:color w:val="4472C4" w:themeColor="accent5"/>
          <w:spacing w:val="0"/>
          <w:sz w:val="24"/>
          <w:szCs w:val="24"/>
          <w14:textFill>
            <w14:solidFill>
              <w14:schemeClr w14:val="accent5"/>
            </w14:solidFill>
          </w14:textFill>
        </w:rPr>
      </w:pPr>
      <w:r>
        <w:rPr>
          <w:rFonts w:hint="eastAsia"/>
          <w:b/>
          <w:bCs/>
          <w:i w:val="0"/>
          <w:caps w:val="0"/>
          <w:color w:val="4472C4" w:themeColor="accent5"/>
          <w:spacing w:val="0"/>
          <w:sz w:val="24"/>
          <w:szCs w:val="24"/>
          <w14:textFill>
            <w14:solidFill>
              <w14:schemeClr w14:val="accent5"/>
            </w14:solidFill>
          </w14:textFill>
        </w:rPr>
        <w:t>项目优势</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SimSun" w:hAnsi="SimSun" w:cs="SimSun"/>
          <w:kern w:val="0"/>
          <w:sz w:val="24"/>
          <w:szCs w:val="24"/>
          <w:shd w:val="clear" w:color="auto" w:fill="FFFFFF"/>
          <w:lang w:val="en-US" w:eastAsia="zh-CN" w:bidi="ar"/>
        </w:rPr>
      </w:pPr>
      <w:r>
        <w:rPr>
          <w:rFonts w:hint="eastAsia" w:ascii="SimSun" w:hAnsi="SimSun" w:eastAsia="SimSun" w:cs="SimSun"/>
          <w:kern w:val="0"/>
          <w:sz w:val="24"/>
          <w:szCs w:val="24"/>
          <w:shd w:val="clear" w:color="auto" w:fill="FFFFFF"/>
          <w:lang w:val="en-US" w:eastAsia="zh-CN" w:bidi="ar"/>
        </w:rPr>
        <w:t>文凭优势：中澳名校强强联手，</w:t>
      </w:r>
      <w:r>
        <w:rPr>
          <w:rFonts w:hint="eastAsia" w:ascii="SimSun" w:hAnsi="SimSun" w:cs="SimSun"/>
          <w:kern w:val="0"/>
          <w:sz w:val="24"/>
          <w:szCs w:val="24"/>
          <w:shd w:val="clear" w:color="auto" w:fill="FFFFFF"/>
          <w:lang w:val="en-US" w:eastAsia="zh-CN" w:bidi="ar"/>
        </w:rPr>
        <w:t>联合培养双方学分互认</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420" w:leftChars="0" w:right="0" w:hanging="420" w:firstLineChars="0"/>
        <w:jc w:val="left"/>
        <w:textAlignment w:val="auto"/>
        <w:outlineLvl w:val="9"/>
        <w:rPr>
          <w:rFonts w:hint="eastAsia" w:ascii="SimSun" w:hAnsi="SimSun" w:eastAsia="SimSun" w:cs="SimSun"/>
          <w:kern w:val="0"/>
          <w:sz w:val="24"/>
          <w:szCs w:val="24"/>
          <w:shd w:val="clear" w:color="auto" w:fill="FFFFFF"/>
          <w:lang w:val="en-US" w:eastAsia="zh-CN" w:bidi="ar"/>
        </w:rPr>
      </w:pPr>
      <w:r>
        <w:rPr>
          <w:rFonts w:hint="eastAsia" w:ascii="SimSun" w:hAnsi="SimSun" w:eastAsia="SimSun" w:cs="SimSun"/>
          <w:kern w:val="0"/>
          <w:sz w:val="24"/>
          <w:szCs w:val="24"/>
          <w:shd w:val="clear" w:color="auto" w:fill="FFFFFF"/>
          <w:lang w:val="en-US" w:eastAsia="zh-CN" w:bidi="ar"/>
        </w:rPr>
        <w:t>平台优势：学生赴澳前，邀请中澳两地教授为学生提供专业知识讲座，提升学生专业能力及英语学习能力与水平；学生赴澳后，提供校园导师平台，协助学生更快更好适应西澳大学学习与生活</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SimSun" w:hAnsi="SimSun" w:eastAsia="SimSun" w:cs="SimSun"/>
          <w:kern w:val="0"/>
          <w:sz w:val="24"/>
          <w:szCs w:val="24"/>
          <w:shd w:val="clear" w:color="auto" w:fill="FFFFFF"/>
          <w:lang w:val="en-US" w:eastAsia="zh-CN" w:bidi="ar"/>
        </w:rPr>
      </w:pPr>
      <w:r>
        <w:rPr>
          <w:rFonts w:hint="eastAsia" w:ascii="SimSun" w:hAnsi="SimSun" w:cs="SimSun"/>
          <w:kern w:val="0"/>
          <w:sz w:val="24"/>
          <w:szCs w:val="24"/>
          <w:shd w:val="clear" w:color="auto" w:fill="FFFFFF"/>
          <w:lang w:val="en-US" w:eastAsia="zh-CN" w:bidi="ar"/>
        </w:rPr>
        <w:t>签证</w:t>
      </w:r>
      <w:r>
        <w:rPr>
          <w:rFonts w:hint="eastAsia" w:ascii="SimSun" w:hAnsi="SimSun" w:eastAsia="SimSun" w:cs="SimSun"/>
          <w:kern w:val="0"/>
          <w:sz w:val="24"/>
          <w:szCs w:val="24"/>
          <w:shd w:val="clear" w:color="auto" w:fill="FFFFFF"/>
          <w:lang w:val="en-US" w:eastAsia="zh-CN" w:bidi="ar"/>
        </w:rPr>
        <w:t>优势：在读期间每2周40小时的兼职工作且假期无上限</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MicrosoftYaHei" w:hAnsi="MicrosoftYaHei" w:eastAsia="MicrosoftYaHei"/>
          <w:sz w:val="20"/>
        </w:rPr>
      </w:pPr>
      <w:r>
        <w:rPr>
          <w:rFonts w:hint="eastAsia" w:ascii="SimSun" w:hAnsi="SimSun" w:eastAsia="SimSun" w:cs="SimSun"/>
          <w:kern w:val="0"/>
          <w:sz w:val="24"/>
          <w:szCs w:val="24"/>
          <w:shd w:val="clear" w:color="auto" w:fill="FFFFFF"/>
          <w:lang w:val="en-US" w:eastAsia="zh-CN" w:bidi="ar"/>
        </w:rPr>
        <w:t>就业优势：中澳背景国际化人才，更易获用人单位青睐</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MicrosoftYaHei" w:hAnsi="MicrosoftYaHei" w:eastAsia="MicrosoftYaHei"/>
          <w:sz w:val="20"/>
        </w:rPr>
      </w:pPr>
      <w:r>
        <w:rPr>
          <w:rFonts w:hint="eastAsia" w:ascii="SimSun" w:hAnsi="SimSun" w:eastAsia="SimSun" w:cs="SimSun"/>
          <w:kern w:val="0"/>
          <w:sz w:val="24"/>
          <w:szCs w:val="24"/>
          <w:shd w:val="clear" w:color="auto" w:fill="FFFFFF"/>
          <w:lang w:val="en-US" w:eastAsia="zh-CN" w:bidi="ar"/>
        </w:rPr>
        <w:t>成本优势：学分互认，</w:t>
      </w:r>
      <w:r>
        <w:rPr>
          <w:rFonts w:hint="eastAsia" w:ascii="SimSun" w:hAnsi="SimSun" w:cs="SimSun"/>
          <w:kern w:val="0"/>
          <w:sz w:val="24"/>
          <w:szCs w:val="24"/>
          <w:shd w:val="clear" w:color="auto" w:fill="FFFFFF"/>
          <w:lang w:val="en-US" w:eastAsia="zh-CN" w:bidi="ar"/>
        </w:rPr>
        <w:t>节省学习时间成本</w:t>
      </w:r>
    </w:p>
    <w:p>
      <w:pPr>
        <w:numPr>
          <w:ilvl w:val="0"/>
          <w:numId w:val="1"/>
        </w:numPr>
        <w:ind w:left="420" w:leftChars="0" w:hanging="420" w:firstLineChars="0"/>
        <w:rPr>
          <w:rFonts w:hint="eastAsia"/>
          <w:b w:val="0"/>
          <w:i w:val="0"/>
          <w:caps w:val="0"/>
          <w:color w:val="000000" w:themeColor="text1"/>
          <w:spacing w:val="0"/>
          <w:sz w:val="24"/>
          <w:szCs w:val="24"/>
          <w14:textFill>
            <w14:solidFill>
              <w14:schemeClr w14:val="tx1"/>
            </w14:solidFill>
          </w14:textFill>
        </w:rPr>
      </w:pPr>
      <w:r>
        <w:rPr>
          <w:rFonts w:hint="eastAsia" w:ascii="SimSun" w:hAnsi="SimSun" w:cs="SimSun"/>
          <w:kern w:val="0"/>
          <w:sz w:val="24"/>
          <w:szCs w:val="24"/>
          <w:shd w:val="clear" w:color="auto" w:fill="FFFFFF"/>
          <w:lang w:val="en-US" w:eastAsia="zh-CN" w:bidi="ar"/>
        </w:rPr>
        <w:t>奖学金优势：西澳大学为参加该项目的同学提供高额学费奖学金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bCs w:val="0"/>
          <w:color w:val="4472C4" w:themeColor="accent5"/>
          <w:sz w:val="24"/>
          <w:szCs w:val="24"/>
          <w14:textFill>
            <w14:solidFill>
              <w14:schemeClr w14:val="accent5"/>
            </w14:solidFill>
          </w14:textFill>
        </w:rPr>
      </w:pPr>
      <w:r>
        <w:rPr>
          <w:rFonts w:hint="eastAsia"/>
          <w:b w:val="0"/>
          <w:i w:val="0"/>
          <w:caps w:val="0"/>
          <w:color w:val="000000" w:themeColor="text1"/>
          <w:spacing w:val="0"/>
          <w:sz w:val="24"/>
          <w:szCs w:val="24"/>
          <w14:textFill>
            <w14:solidFill>
              <w14:schemeClr w14:val="tx1"/>
            </w14:solidFill>
          </w14:textFill>
        </w:rPr>
        <w:br w:type="textWrapping"/>
      </w:r>
      <w:r>
        <w:rPr>
          <w:rFonts w:hint="eastAsia" w:ascii="SimSun" w:hAnsi="SimSun" w:eastAsia="SimSun" w:cs="SimSun"/>
          <w:b/>
          <w:bCs w:val="0"/>
          <w:color w:val="4472C4" w:themeColor="accent5"/>
          <w:kern w:val="0"/>
          <w:sz w:val="24"/>
          <w:szCs w:val="24"/>
          <w:shd w:val="clear" w:color="auto" w:fill="FFFFFF"/>
          <w:lang w:val="en-US" w:eastAsia="zh-CN" w:bidi="ar"/>
          <w14:textFill>
            <w14:solidFill>
              <w14:schemeClr w14:val="accent5"/>
            </w14:solidFill>
          </w14:textFill>
        </w:rPr>
        <w:t>课程、学分置换事宜：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sz w:val="24"/>
          <w:szCs w:val="24"/>
        </w:rPr>
      </w:pPr>
      <w:r>
        <w:rPr>
          <w:rFonts w:hint="eastAsia" w:ascii="SimSun" w:hAnsi="SimSun" w:eastAsia="SimSun" w:cs="SimSun"/>
          <w:kern w:val="0"/>
          <w:sz w:val="24"/>
          <w:szCs w:val="24"/>
          <w:shd w:val="clear" w:color="auto" w:fill="FFFFFF"/>
          <w:lang w:val="en-US" w:eastAsia="zh-CN" w:bidi="ar"/>
        </w:rPr>
        <w:t>1. 交流生在西澳大学开设的课程范围内应尽可能选择修读与我校相关学年专业教学计划相近且必须是未修读过的课程。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sz w:val="24"/>
          <w:szCs w:val="24"/>
        </w:rPr>
      </w:pPr>
      <w:r>
        <w:rPr>
          <w:rFonts w:hint="eastAsia" w:ascii="SimSun" w:hAnsi="SimSun" w:eastAsia="SimSun" w:cs="SimSun"/>
          <w:kern w:val="0"/>
          <w:sz w:val="24"/>
          <w:szCs w:val="24"/>
          <w:shd w:val="clear" w:color="auto" w:fill="FFFFFF"/>
          <w:lang w:val="en-US" w:eastAsia="zh-CN" w:bidi="ar"/>
        </w:rPr>
        <w:t>2. 交流生本学期由于时间问题无法按时参加考试的课程可办理缓考手续，可在返回学校后在学期补考中安排。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sz w:val="24"/>
          <w:szCs w:val="24"/>
        </w:rPr>
      </w:pPr>
      <w:r>
        <w:rPr>
          <w:rFonts w:hint="eastAsia" w:ascii="SimSun" w:hAnsi="SimSun" w:eastAsia="SimSun" w:cs="SimSun"/>
          <w:kern w:val="0"/>
          <w:sz w:val="24"/>
          <w:szCs w:val="24"/>
          <w:shd w:val="clear" w:color="auto" w:fill="FFFFFF"/>
          <w:lang w:val="en-US" w:eastAsia="zh-CN" w:bidi="ar"/>
        </w:rPr>
        <w:t>3. 交流生返校后，其在西澳大学修读的课程由开设单位认定学分，教务处负责审核。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kern w:val="0"/>
          <w:sz w:val="24"/>
          <w:szCs w:val="24"/>
          <w:shd w:val="clear" w:color="auto" w:fill="FFFFFF"/>
          <w:lang w:val="en-US" w:eastAsia="zh-CN" w:bidi="ar"/>
        </w:rPr>
      </w:pPr>
      <w:r>
        <w:rPr>
          <w:rFonts w:hint="eastAsia" w:ascii="SimSun" w:hAnsi="SimSun" w:eastAsia="SimSun" w:cs="SimSun"/>
          <w:kern w:val="0"/>
          <w:sz w:val="24"/>
          <w:szCs w:val="24"/>
          <w:shd w:val="clear" w:color="auto" w:fill="FFFFFF"/>
          <w:lang w:val="en-US" w:eastAsia="zh-CN" w:bidi="ar"/>
        </w:rPr>
        <w:t>4. 交流生在西澳大学所修读学分回校置换认可，余下在本校该学期未修读的课程随本专业下一级学生在后续学期修读。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kern w:val="0"/>
          <w:sz w:val="24"/>
          <w:szCs w:val="2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kern w:val="0"/>
          <w:sz w:val="24"/>
          <w:szCs w:val="2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pPr>
      <w:r>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t>学费、生活费及项目费用</w:t>
      </w:r>
    </w:p>
    <w:tbl>
      <w:tblPr>
        <w:tblStyle w:val="4"/>
        <w:tblW w:w="1060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3367"/>
        <w:gridCol w:w="2016"/>
        <w:gridCol w:w="1567"/>
        <w:gridCol w:w="1817"/>
        <w:gridCol w:w="18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83"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西澳大学1学期课程学费</w:t>
            </w:r>
          </w:p>
        </w:tc>
        <w:tc>
          <w:tcPr>
            <w:tcW w:w="3384"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在澳期间生活费</w:t>
            </w:r>
          </w:p>
        </w:tc>
        <w:tc>
          <w:tcPr>
            <w:tcW w:w="1842" w:type="dxa"/>
            <w:tcBorders>
              <w:top w:val="single" w:color="auto" w:sz="4" w:space="0"/>
              <w:left w:val="single" w:color="auto" w:sz="4" w:space="0"/>
              <w:bottom w:val="single" w:color="auto" w:sz="4" w:space="0"/>
              <w:right w:val="single" w:color="auto" w:sz="4" w:space="0"/>
            </w:tcBorders>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kern w:val="0"/>
                <w:sz w:val="24"/>
                <w:szCs w:val="24"/>
                <w:lang w:val="en-US" w:eastAsia="zh-CN" w:bidi="ar"/>
              </w:rPr>
            </w:pPr>
            <w:r>
              <w:rPr>
                <w:rFonts w:hint="eastAsia" w:ascii="SimSun" w:hAnsi="SimSun" w:eastAsia="SimSun" w:cs="SimSun"/>
                <w:b w:val="0"/>
                <w:bCs/>
                <w:kern w:val="0"/>
                <w:sz w:val="24"/>
                <w:szCs w:val="24"/>
                <w:shd w:val="clear" w:color="auto" w:fill="FFFFFF"/>
                <w:lang w:val="en-US" w:eastAsia="zh-CN" w:bidi="ar"/>
              </w:rPr>
              <w:t>项目管理费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67" w:type="dxa"/>
            <w:tcBorders>
              <w:top w:val="single" w:color="auto" w:sz="4" w:space="0"/>
              <w:left w:val="single" w:color="auto" w:sz="4" w:space="0"/>
              <w:bottom w:val="single" w:color="auto" w:sz="4" w:space="0"/>
              <w:right w:val="single" w:color="auto" w:sz="4" w:space="0"/>
            </w:tcBorders>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澳元/学期</w:t>
            </w:r>
          </w:p>
        </w:tc>
        <w:tc>
          <w:tcPr>
            <w:tcW w:w="2016" w:type="dxa"/>
            <w:tcBorders>
              <w:top w:val="single" w:color="auto" w:sz="4" w:space="0"/>
              <w:left w:val="single" w:color="auto" w:sz="4" w:space="0"/>
              <w:bottom w:val="single" w:color="auto" w:sz="4" w:space="0"/>
              <w:right w:val="single" w:color="auto" w:sz="4" w:space="0"/>
            </w:tcBorders>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人民币/学期</w:t>
            </w:r>
          </w:p>
        </w:tc>
        <w:tc>
          <w:tcPr>
            <w:tcW w:w="1567" w:type="dxa"/>
            <w:tcBorders>
              <w:top w:val="single" w:color="auto" w:sz="4" w:space="0"/>
              <w:left w:val="single" w:color="auto" w:sz="4" w:space="0"/>
              <w:bottom w:val="single" w:color="auto" w:sz="4" w:space="0"/>
              <w:right w:val="single" w:color="auto" w:sz="4" w:space="0"/>
            </w:tcBorders>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澳元/学期</w:t>
            </w:r>
          </w:p>
        </w:tc>
        <w:tc>
          <w:tcPr>
            <w:tcW w:w="1817" w:type="dxa"/>
            <w:tcBorders>
              <w:top w:val="single" w:color="auto" w:sz="4" w:space="0"/>
              <w:left w:val="single" w:color="auto" w:sz="4" w:space="0"/>
              <w:bottom w:val="single" w:color="auto" w:sz="4" w:space="0"/>
              <w:right w:val="single" w:color="auto" w:sz="4" w:space="0"/>
            </w:tcBorders>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人民币/学期</w:t>
            </w:r>
          </w:p>
        </w:tc>
        <w:tc>
          <w:tcPr>
            <w:tcW w:w="1842" w:type="dxa"/>
            <w:tcBorders>
              <w:top w:val="single" w:color="auto" w:sz="4" w:space="0"/>
              <w:left w:val="single" w:color="auto" w:sz="4" w:space="0"/>
              <w:bottom w:val="single" w:color="auto" w:sz="4" w:space="0"/>
              <w:right w:val="single" w:color="auto" w:sz="4" w:space="0"/>
            </w:tcBorders>
            <w:tcMar>
              <w:left w:w="108" w:type="dxa"/>
              <w:right w:w="108" w:type="dxa"/>
            </w:tcMar>
            <w:vAlign w:val="bottom"/>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kern w:val="0"/>
                <w:sz w:val="24"/>
                <w:szCs w:val="24"/>
                <w:lang w:val="en-US" w:eastAsia="zh-CN" w:bidi="ar"/>
              </w:rPr>
            </w:pPr>
            <w:r>
              <w:rPr>
                <w:rFonts w:hint="eastAsia" w:ascii="SimSun" w:hAnsi="SimSun" w:eastAsia="SimSun" w:cs="SimSun"/>
                <w:kern w:val="0"/>
                <w:sz w:val="24"/>
                <w:szCs w:val="24"/>
                <w:lang w:val="en-US" w:eastAsia="zh-CN" w:bidi="ar"/>
              </w:rPr>
              <w:t>人民币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6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*1≈ 11,160(20%减免后)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*2≈ 10,462(25%减免后)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rPr>
            </w:pPr>
            <w:r>
              <w:rPr>
                <w:rFonts w:hint="eastAsia" w:ascii="SimSun" w:hAnsi="SimSun" w:eastAsia="SimSun" w:cs="SimSun"/>
                <w:kern w:val="0"/>
                <w:sz w:val="24"/>
                <w:szCs w:val="24"/>
                <w:lang w:val="en-US" w:eastAsia="zh-CN" w:bidi="ar"/>
              </w:rPr>
              <w:t>*3≈ 9,765(30%减免后)</w:t>
            </w:r>
          </w:p>
        </w:tc>
        <w:tc>
          <w:tcPr>
            <w:tcW w:w="201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default" w:ascii="SimSun" w:hAnsi="SimSun" w:eastAsia="SimSun" w:cs="SimSun"/>
                <w:sz w:val="24"/>
                <w:szCs w:val="24"/>
                <w:lang w:val="en-US"/>
              </w:rPr>
            </w:pPr>
            <w:r>
              <w:rPr>
                <w:rFonts w:hint="eastAsia" w:ascii="SimSun" w:hAnsi="SimSun" w:eastAsia="SimSun" w:cs="SimSun"/>
                <w:kern w:val="0"/>
                <w:sz w:val="24"/>
                <w:szCs w:val="24"/>
                <w:lang w:val="en-US" w:eastAsia="zh-CN" w:bidi="ar"/>
              </w:rPr>
              <w:t>≈ 53,568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default" w:ascii="SimSun" w:hAnsi="SimSun" w:eastAsia="SimSun" w:cs="SimSun"/>
                <w:sz w:val="24"/>
                <w:szCs w:val="24"/>
                <w:lang w:val="en-US"/>
              </w:rPr>
            </w:pPr>
            <w:r>
              <w:rPr>
                <w:rFonts w:hint="eastAsia" w:ascii="SimSun" w:hAnsi="SimSun" w:eastAsia="SimSun" w:cs="SimSun"/>
                <w:kern w:val="0"/>
                <w:sz w:val="24"/>
                <w:szCs w:val="24"/>
                <w:lang w:val="en-US" w:eastAsia="zh-CN" w:bidi="ar"/>
              </w:rPr>
              <w:t>≈ 50,217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default" w:ascii="SimSun" w:hAnsi="SimSun" w:eastAsia="SimSun" w:cs="SimSun"/>
                <w:sz w:val="24"/>
                <w:szCs w:val="24"/>
                <w:lang w:val="en-US"/>
              </w:rPr>
            </w:pPr>
            <w:r>
              <w:rPr>
                <w:rFonts w:hint="eastAsia" w:ascii="SimSun" w:hAnsi="SimSun" w:eastAsia="SimSun" w:cs="SimSun"/>
                <w:kern w:val="0"/>
                <w:sz w:val="24"/>
                <w:szCs w:val="24"/>
                <w:lang w:val="en-US" w:eastAsia="zh-CN" w:bidi="ar"/>
              </w:rPr>
              <w:t>≈ 46,872</w:t>
            </w:r>
          </w:p>
        </w:tc>
        <w:tc>
          <w:tcPr>
            <w:tcW w:w="156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kern w:val="0"/>
                <w:sz w:val="24"/>
                <w:szCs w:val="24"/>
                <w:highlight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highlight w:val="none"/>
              </w:rPr>
            </w:pPr>
            <w:r>
              <w:rPr>
                <w:rFonts w:hint="eastAsia" w:ascii="SimSun" w:hAnsi="SimSun" w:eastAsia="SimSun" w:cs="SimSun"/>
                <w:kern w:val="0"/>
                <w:sz w:val="24"/>
                <w:szCs w:val="24"/>
                <w:highlight w:val="none"/>
                <w:lang w:val="en-US" w:eastAsia="zh-CN" w:bidi="ar"/>
              </w:rPr>
              <w:t>≈10,145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sz w:val="24"/>
                <w:szCs w:val="24"/>
                <w:highlight w:val="none"/>
              </w:rPr>
            </w:pPr>
          </w:p>
        </w:tc>
        <w:tc>
          <w:tcPr>
            <w:tcW w:w="181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default" w:ascii="SimSun" w:hAnsi="SimSun" w:eastAsia="SimSun" w:cs="SimSun"/>
                <w:sz w:val="24"/>
                <w:szCs w:val="24"/>
                <w:highlight w:val="none"/>
                <w:lang w:val="en-US"/>
              </w:rPr>
            </w:pPr>
            <w:r>
              <w:rPr>
                <w:rFonts w:hint="eastAsia" w:ascii="SimSun" w:hAnsi="SimSun" w:eastAsia="SimSun" w:cs="SimSun"/>
                <w:kern w:val="0"/>
                <w:sz w:val="24"/>
                <w:szCs w:val="24"/>
                <w:highlight w:val="none"/>
                <w:lang w:val="en-US" w:eastAsia="zh-CN" w:bidi="ar"/>
              </w:rPr>
              <w:t>≈ 48,696</w:t>
            </w:r>
          </w:p>
        </w:tc>
        <w:tc>
          <w:tcPr>
            <w:tcW w:w="184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center"/>
              <w:textAlignment w:val="auto"/>
              <w:outlineLvl w:val="9"/>
              <w:rPr>
                <w:rFonts w:hint="eastAsia" w:ascii="SimSun" w:hAnsi="SimSun" w:eastAsia="SimSun" w:cs="SimSun"/>
                <w:kern w:val="0"/>
                <w:sz w:val="24"/>
                <w:szCs w:val="24"/>
                <w:highlight w:val="none"/>
                <w:lang w:val="en-US" w:eastAsia="zh-CN" w:bidi="ar"/>
              </w:rPr>
            </w:pPr>
            <w:r>
              <w:rPr>
                <w:rFonts w:hint="eastAsia" w:ascii="SimSun" w:hAnsi="SimSun" w:eastAsia="SimSun" w:cs="SimSun"/>
                <w:bCs/>
                <w:kern w:val="0"/>
                <w:sz w:val="24"/>
                <w:szCs w:val="24"/>
                <w:shd w:val="clear" w:color="auto" w:fill="FFFFFF"/>
                <w:lang w:val="en-US" w:eastAsia="zh-CN" w:bidi="ar"/>
              </w:rPr>
              <w:t>14,400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sz w:val="24"/>
          <w:szCs w:val="24"/>
        </w:rPr>
      </w:pPr>
      <w:r>
        <w:rPr>
          <w:rFonts w:hint="eastAsia" w:ascii="SimSun" w:hAnsi="SimSun" w:eastAsia="SimSun" w:cs="SimSun"/>
          <w:kern w:val="0"/>
          <w:sz w:val="24"/>
          <w:szCs w:val="24"/>
          <w:shd w:val="clear" w:color="auto" w:fill="FFFFFF"/>
          <w:lang w:val="en-US" w:eastAsia="zh-CN" w:bidi="ar"/>
        </w:rPr>
        <w:t>*1. 报名人数为1-5名, 获得1学期学费20%的减免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sz w:val="24"/>
          <w:szCs w:val="24"/>
        </w:rPr>
      </w:pPr>
      <w:r>
        <w:rPr>
          <w:rFonts w:hint="eastAsia" w:ascii="SimSun" w:hAnsi="SimSun" w:eastAsia="SimSun" w:cs="SimSun"/>
          <w:kern w:val="0"/>
          <w:sz w:val="24"/>
          <w:szCs w:val="24"/>
          <w:shd w:val="clear" w:color="auto" w:fill="FFFFFF"/>
          <w:lang w:val="en-US" w:eastAsia="zh-CN" w:bidi="ar"/>
        </w:rPr>
        <w:t>*2. 如报名人数为6-9名,获得1学期学费25%的减免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sz w:val="24"/>
          <w:szCs w:val="24"/>
        </w:rPr>
      </w:pPr>
      <w:r>
        <w:rPr>
          <w:rFonts w:hint="eastAsia" w:ascii="SimSun" w:hAnsi="SimSun" w:eastAsia="SimSun" w:cs="SimSun"/>
          <w:kern w:val="0"/>
          <w:sz w:val="24"/>
          <w:szCs w:val="24"/>
          <w:shd w:val="clear" w:color="auto" w:fill="FFFFFF"/>
          <w:lang w:val="en-US" w:eastAsia="zh-CN" w:bidi="ar"/>
        </w:rPr>
        <w:t>*3. 如报名人数达到10人或以上,有机会获得1学期学费30%的减免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jc w:val="both"/>
        <w:textAlignment w:val="auto"/>
        <w:outlineLvl w:val="9"/>
        <w:rPr>
          <w:rFonts w:hint="eastAsia" w:ascii="SimSun" w:hAnsi="SimSun" w:eastAsia="SimSun" w:cs="SimSun"/>
          <w:b/>
          <w:bCs w:val="0"/>
          <w:kern w:val="0"/>
          <w:sz w:val="24"/>
          <w:szCs w:val="24"/>
          <w:shd w:val="clear" w:color="auto" w:fill="FFFFFF"/>
          <w:lang w:val="en-US" w:eastAsia="zh-CN" w:bidi="ar"/>
        </w:rPr>
      </w:pPr>
      <w:r>
        <w:rPr>
          <w:rFonts w:hint="eastAsia" w:ascii="SimSun" w:hAnsi="SimSun" w:eastAsia="SimSun" w:cs="SimSun"/>
          <w:b/>
          <w:bCs w:val="0"/>
          <w:kern w:val="0"/>
          <w:sz w:val="24"/>
          <w:szCs w:val="24"/>
          <w:shd w:val="clear" w:color="auto" w:fill="FFFFFF"/>
          <w:lang w:val="en-US" w:eastAsia="zh-CN" w:bidi="ar"/>
        </w:rPr>
        <w:t>【注】</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以上按澳币与人民币1:</w:t>
      </w:r>
      <w:r>
        <w:rPr>
          <w:rFonts w:hint="eastAsia" w:ascii="SimSun" w:hAnsi="SimSun" w:eastAsia="SimSun" w:cs="SimSun"/>
          <w:sz w:val="24"/>
          <w:szCs w:val="24"/>
          <w:lang w:val="en-US" w:eastAsia="zh-CN"/>
        </w:rPr>
        <w:t>4.8</w:t>
      </w:r>
      <w:r>
        <w:rPr>
          <w:rFonts w:hint="eastAsia" w:ascii="SimSun" w:hAnsi="SimSun" w:eastAsia="SimSun" w:cs="SimSun"/>
          <w:sz w:val="24"/>
          <w:szCs w:val="24"/>
          <w:lang w:eastAsia="zh-CN"/>
        </w:rPr>
        <w:t>计算，如有变化以实际为准。</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西澳大学学费按照20</w:t>
      </w:r>
      <w:r>
        <w:rPr>
          <w:rFonts w:hint="eastAsia" w:ascii="SimSun" w:hAnsi="SimSun" w:eastAsia="SimSun" w:cs="SimSun"/>
          <w:sz w:val="24"/>
          <w:szCs w:val="24"/>
          <w:lang w:val="en-US" w:eastAsia="zh-CN"/>
        </w:rPr>
        <w:t>20</w:t>
      </w:r>
      <w:r>
        <w:rPr>
          <w:rFonts w:hint="eastAsia" w:ascii="SimSun" w:hAnsi="SimSun" w:eastAsia="SimSun" w:cs="SimSun"/>
          <w:sz w:val="24"/>
          <w:szCs w:val="24"/>
          <w:lang w:eastAsia="zh-CN"/>
        </w:rPr>
        <w:t>年官网公布学费，西澳大学官网:</w:t>
      </w:r>
      <w:bookmarkStart w:id="0" w:name="_GoBack"/>
      <w:bookmarkEnd w:id="0"/>
      <w:r>
        <w:rPr>
          <w:rFonts w:hint="eastAsia" w:ascii="SimSun" w:hAnsi="SimSun" w:eastAsia="SimSun" w:cs="SimSun"/>
          <w:sz w:val="24"/>
          <w:szCs w:val="24"/>
          <w:lang w:eastAsia="zh-CN"/>
        </w:rPr>
        <w:t>https://www.uwa.edu.au/</w:t>
      </w:r>
    </w:p>
    <w:p>
      <w:pPr>
        <w:keepNext w:val="0"/>
        <w:keepLines w:val="0"/>
        <w:pageBreakBefore w:val="0"/>
        <w:kinsoku/>
        <w:wordWrap/>
        <w:overflowPunct/>
        <w:topLinePunct w:val="0"/>
        <w:autoSpaceDE/>
        <w:autoSpaceDN/>
        <w:bidi w:val="0"/>
        <w:adjustRightInd/>
        <w:snapToGrid/>
        <w:spacing w:line="240" w:lineRule="auto"/>
        <w:ind w:right="0" w:rightChars="0"/>
        <w:textAlignment w:val="auto"/>
        <w:outlineLvl w:val="9"/>
        <w:rPr>
          <w:rFonts w:hint="eastAsia" w:ascii="SimSun" w:hAnsi="SimSun" w:eastAsia="SimSun" w:cs="SimSun"/>
          <w:sz w:val="24"/>
          <w:szCs w:val="24"/>
          <w:lang w:eastAsia="zh-CN"/>
        </w:rPr>
      </w:pPr>
      <w:r>
        <w:rPr>
          <w:rFonts w:hint="eastAsia" w:ascii="SimSun" w:hAnsi="SimSun" w:eastAsia="SimSun" w:cs="SimSun"/>
          <w:sz w:val="24"/>
          <w:szCs w:val="24"/>
          <w:lang w:eastAsia="zh-CN"/>
        </w:rPr>
        <w:t>西澳大学学费每年可能有不超过7.5%的增幅， 具体学费届时请以西澳大学官方通知缴费数额为准。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kern w:val="0"/>
          <w:sz w:val="24"/>
          <w:szCs w:val="2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pPr>
      <w:r>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t>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2. 提交正式申请材料并向西澳大学联络处缴纳项目费用；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3. 西澳大学确定预录取名单；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7.赴澳大利亚学习。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SimSun" w:hAnsi="SimSun" w:eastAsia="SimSun" w:cs="SimSun"/>
          <w:color w:val="4472C4" w:themeColor="accent5"/>
          <w:kern w:val="0"/>
          <w:sz w:val="24"/>
          <w:szCs w:val="24"/>
          <w:shd w:val="clear" w:color="auto" w:fill="FFFFFF"/>
          <w:lang w:val="en-US" w:eastAsia="zh-CN" w:bidi="ar"/>
          <w14:textFill>
            <w14:solidFill>
              <w14:schemeClr w14:val="accent5"/>
            </w14:solidFill>
          </w14:textFill>
        </w:rPr>
      </w:pPr>
      <w:r>
        <w:rPr>
          <w:rFonts w:hint="eastAsia" w:ascii="SimSun" w:hAnsi="SimSun" w:eastAsia="SimSun" w:cs="SimSun"/>
          <w:b/>
          <w:color w:val="4472C4" w:themeColor="accent5"/>
          <w:kern w:val="0"/>
          <w:sz w:val="24"/>
          <w:szCs w:val="24"/>
          <w:shd w:val="clear" w:color="auto" w:fill="FFFFFF"/>
          <w:lang w:val="en-US" w:eastAsia="zh-CN" w:bidi="ar"/>
          <w14:textFill>
            <w14:solidFill>
              <w14:schemeClr w14:val="accent5"/>
            </w14:solidFill>
          </w14:textFill>
        </w:rPr>
        <w:t>联系方式</w:t>
      </w:r>
      <w:r>
        <w:rPr>
          <w:rFonts w:hint="eastAsia" w:ascii="SimSun" w:hAnsi="SimSun" w:eastAsia="SimSun" w:cs="SimSun"/>
          <w:color w:val="4472C4" w:themeColor="accent5"/>
          <w:kern w:val="0"/>
          <w:sz w:val="24"/>
          <w:szCs w:val="24"/>
          <w:shd w:val="clear" w:color="auto" w:fill="FFFFFF"/>
          <w:lang w:val="en-US" w:eastAsia="zh-CN" w:bidi="ar"/>
          <w14:textFill>
            <w14:solidFill>
              <w14:schemeClr w14:val="accent5"/>
            </w14:solidFill>
          </w14:textFill>
        </w:rPr>
        <w:t> </w:t>
      </w:r>
    </w:p>
    <w:p>
      <w:pPr>
        <w:numPr>
          <w:ilvl w:val="0"/>
          <w:numId w:val="0"/>
        </w:numPr>
        <w:ind w:leftChars="0"/>
        <w:rPr>
          <w:rFonts w:hint="eastAsia" w:ascii="SimSun" w:hAnsi="SimSun" w:eastAsia="SimSun" w:cs="SimSun"/>
          <w:color w:val="4472C4" w:themeColor="accent5"/>
          <w:kern w:val="0"/>
          <w:sz w:val="24"/>
          <w:szCs w:val="24"/>
          <w:shd w:val="clear" w:color="auto" w:fill="FFFFFF"/>
          <w:lang w:val="en-US" w:eastAsia="zh-CN" w:bidi="ar"/>
          <w14:textFill>
            <w14:solidFill>
              <w14:schemeClr w14:val="accent5"/>
            </w14:solidFill>
          </w14:textFill>
        </w:rPr>
      </w:pPr>
      <w:r>
        <w:rPr>
          <w:rFonts w:hint="eastAsia" w:ascii="SimSun" w:hAnsi="SimSun" w:eastAsia="SimSun" w:cs="SimSun"/>
          <w:kern w:val="0"/>
          <w:sz w:val="24"/>
          <w:szCs w:val="24"/>
          <w:shd w:val="clear" w:color="auto" w:fill="FFFFFF"/>
          <w:lang w:val="en-US" w:eastAsia="zh-CN" w:bidi="ar"/>
        </w:rPr>
        <w:t>地址：广东财经大学校本部图书馆101室澳洲文化体验馆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default" w:ascii="SimSun" w:hAnsi="SimSun" w:eastAsia="SimSun" w:cs="SimSun"/>
          <w:kern w:val="0"/>
          <w:sz w:val="24"/>
          <w:szCs w:val="24"/>
          <w:shd w:val="clear" w:color="auto" w:fill="FFFFFF"/>
          <w:lang w:val="en-US" w:eastAsia="zh-CN" w:bidi="ar"/>
        </w:rPr>
      </w:pPr>
      <w:r>
        <w:rPr>
          <w:rFonts w:hint="eastAsia" w:ascii="SimSun" w:hAnsi="SimSun" w:eastAsia="SimSun" w:cs="SimSun"/>
          <w:kern w:val="0"/>
          <w:sz w:val="24"/>
          <w:szCs w:val="24"/>
          <w:shd w:val="clear" w:color="auto" w:fill="FFFFFF"/>
          <w:lang w:val="en-US" w:eastAsia="zh-CN" w:bidi="ar"/>
        </w:rPr>
        <w:t>电话：罗老师18620715823   苏老师13825029372</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SimSun"/>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D02"/>
    <w:multiLevelType w:val="singleLevel"/>
    <w:tmpl w:val="067D1D02"/>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13F4D"/>
    <w:rsid w:val="04774718"/>
    <w:rsid w:val="0F00547C"/>
    <w:rsid w:val="114443AC"/>
    <w:rsid w:val="275A2798"/>
    <w:rsid w:val="316276B2"/>
    <w:rsid w:val="38C60AB8"/>
    <w:rsid w:val="3DE13764"/>
    <w:rsid w:val="44DC7710"/>
    <w:rsid w:val="4E8117FD"/>
    <w:rsid w:val="524452FD"/>
    <w:rsid w:val="599F4B03"/>
    <w:rsid w:val="71813F4D"/>
    <w:rsid w:val="7AC209A6"/>
    <w:rsid w:val="7C416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2019-02-21T08:58:00Z</dcterms:created>
  <dc:creator>Iris</dc:creator>
  <cp:lastModifiedBy>Iris</cp:lastModifiedBy>
  <dcterms:modified xsi:type="dcterms:W3CDTF">2020-02-20T10:16:58Z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